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FD" w:rsidRDefault="003022F7" w:rsidP="009B2CA6">
      <w:pPr>
        <w:pStyle w:val="Ttulo1"/>
        <w:spacing w:line="240" w:lineRule="auto"/>
        <w:ind w:firstLine="0"/>
        <w:rPr>
          <w:rFonts w:ascii="Verdana" w:hAnsi="Verdana" w:cs="Times New Roman"/>
          <w:color w:val="auto"/>
        </w:rPr>
      </w:pPr>
      <w:bookmarkStart w:id="0" w:name="_Hlk488329621"/>
      <w:bookmarkStart w:id="1" w:name="_Toc536741909"/>
      <w:bookmarkStart w:id="2" w:name="_Toc1224432"/>
      <w:r>
        <w:rPr>
          <w:rFonts w:ascii="Verdana" w:hAnsi="Verdana" w:cs="Times New Roman"/>
          <w:color w:val="auto"/>
        </w:rPr>
        <w:t>UN ANÁLISIS CRÍTICO</w:t>
      </w:r>
      <w:r w:rsidRPr="009B2CA6">
        <w:rPr>
          <w:rFonts w:ascii="Verdana" w:hAnsi="Verdana" w:cs="Times New Roman"/>
          <w:color w:val="auto"/>
        </w:rPr>
        <w:t xml:space="preserve"> </w:t>
      </w:r>
      <w:r>
        <w:rPr>
          <w:rFonts w:ascii="Verdana" w:hAnsi="Verdana" w:cs="Times New Roman"/>
          <w:color w:val="auto"/>
        </w:rPr>
        <w:t xml:space="preserve">DE </w:t>
      </w:r>
      <w:r w:rsidR="008101DF" w:rsidRPr="009B2CA6">
        <w:rPr>
          <w:rFonts w:ascii="Verdana" w:hAnsi="Verdana" w:cs="Times New Roman"/>
          <w:color w:val="auto"/>
        </w:rPr>
        <w:t>LA</w:t>
      </w:r>
      <w:r w:rsidR="00172920" w:rsidRPr="009B2CA6">
        <w:rPr>
          <w:rFonts w:ascii="Verdana" w:hAnsi="Verdana" w:cs="Times New Roman"/>
          <w:color w:val="auto"/>
        </w:rPr>
        <w:t>S NORMAS SOBRE</w:t>
      </w:r>
      <w:r w:rsidR="008101DF" w:rsidRPr="009B2CA6">
        <w:rPr>
          <w:rFonts w:ascii="Verdana" w:hAnsi="Verdana" w:cs="Times New Roman"/>
          <w:color w:val="auto"/>
        </w:rPr>
        <w:t xml:space="preserve"> TRANSPARE</w:t>
      </w:r>
      <w:r w:rsidR="00BD1E82" w:rsidRPr="009B2CA6">
        <w:rPr>
          <w:rFonts w:ascii="Verdana" w:hAnsi="Verdana" w:cs="Times New Roman"/>
          <w:color w:val="auto"/>
        </w:rPr>
        <w:t xml:space="preserve">NCIA EN </w:t>
      </w:r>
      <w:r w:rsidR="001864CB">
        <w:rPr>
          <w:rFonts w:ascii="Verdana" w:hAnsi="Verdana" w:cs="Times New Roman"/>
          <w:color w:val="auto"/>
        </w:rPr>
        <w:t>LOS REGLAMENTOS</w:t>
      </w:r>
      <w:r w:rsidR="00BD1E82" w:rsidRPr="009B2CA6">
        <w:rPr>
          <w:rFonts w:ascii="Verdana" w:hAnsi="Verdana" w:cs="Times New Roman"/>
          <w:color w:val="auto"/>
        </w:rPr>
        <w:t xml:space="preserve"> DE ARBITRAJE</w:t>
      </w:r>
      <w:r w:rsidR="008101DF" w:rsidRPr="009B2CA6">
        <w:rPr>
          <w:rFonts w:ascii="Verdana" w:hAnsi="Verdana" w:cs="Times New Roman"/>
          <w:color w:val="auto"/>
        </w:rPr>
        <w:t xml:space="preserve"> </w:t>
      </w:r>
      <w:bookmarkEnd w:id="0"/>
      <w:bookmarkEnd w:id="1"/>
      <w:bookmarkEnd w:id="2"/>
      <w:r w:rsidR="00E8163B">
        <w:rPr>
          <w:rFonts w:ascii="Verdana" w:hAnsi="Verdana" w:cs="Times New Roman"/>
          <w:color w:val="auto"/>
        </w:rPr>
        <w:t xml:space="preserve">INTERNACIONAL: </w:t>
      </w:r>
      <w:r w:rsidR="00172920" w:rsidRPr="009B2CA6">
        <w:rPr>
          <w:rFonts w:ascii="Verdana" w:hAnsi="Verdana" w:cs="Times New Roman"/>
          <w:color w:val="auto"/>
        </w:rPr>
        <w:t>LA CCI,</w:t>
      </w:r>
      <w:r w:rsidR="004128DF" w:rsidRPr="009B2CA6">
        <w:rPr>
          <w:rFonts w:ascii="Verdana" w:hAnsi="Verdana" w:cs="Times New Roman"/>
          <w:color w:val="auto"/>
        </w:rPr>
        <w:t xml:space="preserve"> </w:t>
      </w:r>
      <w:r w:rsidR="009D1535" w:rsidRPr="009B2CA6">
        <w:rPr>
          <w:rFonts w:ascii="Verdana" w:hAnsi="Verdana" w:cs="Times New Roman"/>
          <w:color w:val="auto"/>
        </w:rPr>
        <w:t>EL CIADI Y LA CNUDMI</w:t>
      </w:r>
      <w:r w:rsidR="00E8163B">
        <w:rPr>
          <w:rFonts w:ascii="Verdana" w:hAnsi="Verdana" w:cs="Times New Roman"/>
          <w:color w:val="auto"/>
        </w:rPr>
        <w:t>.</w:t>
      </w:r>
      <w:r w:rsidR="004128DF" w:rsidRPr="009B2CA6">
        <w:rPr>
          <w:rFonts w:ascii="Verdana" w:hAnsi="Verdana" w:cs="Times New Roman"/>
          <w:color w:val="auto"/>
        </w:rPr>
        <w:t xml:space="preserve"> </w:t>
      </w:r>
    </w:p>
    <w:p w:rsidR="00AA3DB0" w:rsidRDefault="00AA3DB0" w:rsidP="00AA3DB0">
      <w:pPr>
        <w:ind w:firstLine="0"/>
        <w:rPr>
          <w:rFonts w:ascii="Verdana" w:hAnsi="Verdana"/>
          <w:sz w:val="20"/>
          <w:szCs w:val="20"/>
        </w:rPr>
      </w:pPr>
    </w:p>
    <w:p w:rsidR="009656A7" w:rsidRDefault="009656A7" w:rsidP="009656A7">
      <w:pPr>
        <w:spacing w:line="240" w:lineRule="auto"/>
        <w:ind w:firstLine="0"/>
        <w:rPr>
          <w:rFonts w:ascii="Verdana" w:hAnsi="Verdana"/>
          <w:b/>
          <w:sz w:val="28"/>
          <w:szCs w:val="28"/>
        </w:rPr>
      </w:pPr>
      <w:r w:rsidRPr="009656A7">
        <w:rPr>
          <w:rFonts w:ascii="Verdana" w:hAnsi="Verdana"/>
          <w:b/>
          <w:sz w:val="28"/>
          <w:szCs w:val="28"/>
        </w:rPr>
        <w:t>A CRITICAL ANALYSIS OF THE TRANSPARENCY RULES IN THE INTERNATIONAL ARBITRATION REGULATIONS: THE ICC, ICSID AND UNCITRAL.</w:t>
      </w:r>
    </w:p>
    <w:p w:rsidR="009656A7" w:rsidRPr="009656A7" w:rsidRDefault="009656A7" w:rsidP="009656A7">
      <w:pPr>
        <w:spacing w:line="240" w:lineRule="auto"/>
        <w:ind w:firstLine="0"/>
        <w:rPr>
          <w:rFonts w:ascii="Verdana" w:hAnsi="Verdana"/>
          <w:b/>
          <w:sz w:val="28"/>
          <w:szCs w:val="28"/>
        </w:rPr>
      </w:pPr>
    </w:p>
    <w:p w:rsidR="00AA3DB0" w:rsidRPr="009B2CA6" w:rsidRDefault="00AA3DB0" w:rsidP="00AA3DB0">
      <w:pPr>
        <w:ind w:firstLine="0"/>
        <w:rPr>
          <w:rFonts w:ascii="Verdana" w:hAnsi="Verdana"/>
          <w:sz w:val="20"/>
          <w:szCs w:val="20"/>
        </w:rPr>
      </w:pPr>
      <w:r w:rsidRPr="009B2CA6">
        <w:rPr>
          <w:rFonts w:ascii="Verdana" w:hAnsi="Verdana"/>
          <w:sz w:val="20"/>
          <w:szCs w:val="20"/>
        </w:rPr>
        <w:t>Nayiber Febles Pozo</w:t>
      </w:r>
      <w:r>
        <w:rPr>
          <w:rStyle w:val="Refdenotaalpie"/>
          <w:rFonts w:ascii="Verdana" w:hAnsi="Verdana"/>
          <w:sz w:val="20"/>
          <w:szCs w:val="20"/>
        </w:rPr>
        <w:footnoteReference w:id="1"/>
      </w:r>
    </w:p>
    <w:p w:rsidR="009B2CA6" w:rsidRDefault="009B2CA6" w:rsidP="009B2CA6">
      <w:pPr>
        <w:ind w:firstLine="0"/>
      </w:pPr>
    </w:p>
    <w:p w:rsidR="00AA3DB0" w:rsidRDefault="00AA3DB0" w:rsidP="00E45E1F">
      <w:pPr>
        <w:spacing w:line="240" w:lineRule="auto"/>
        <w:ind w:firstLine="0"/>
        <w:rPr>
          <w:rFonts w:ascii="Verdana" w:hAnsi="Verdana"/>
          <w:sz w:val="20"/>
          <w:szCs w:val="20"/>
        </w:rPr>
      </w:pPr>
      <w:r w:rsidRPr="00EC737E">
        <w:rPr>
          <w:rFonts w:ascii="Verdana" w:hAnsi="Verdana"/>
          <w:b/>
          <w:sz w:val="20"/>
          <w:szCs w:val="20"/>
        </w:rPr>
        <w:t>SUMARIO:</w:t>
      </w:r>
      <w:r w:rsidRPr="00EC737E">
        <w:rPr>
          <w:rFonts w:ascii="Verdana" w:hAnsi="Verdana"/>
          <w:sz w:val="20"/>
          <w:szCs w:val="20"/>
        </w:rPr>
        <w:t xml:space="preserve"> </w:t>
      </w:r>
      <w:r w:rsidR="00EC737E">
        <w:rPr>
          <w:rFonts w:ascii="Verdana" w:hAnsi="Verdana"/>
          <w:sz w:val="20"/>
          <w:szCs w:val="20"/>
        </w:rPr>
        <w:t>1.</w:t>
      </w:r>
      <w:r w:rsidRPr="00EC737E">
        <w:rPr>
          <w:rFonts w:ascii="Verdana" w:hAnsi="Verdana"/>
          <w:sz w:val="20"/>
          <w:szCs w:val="20"/>
        </w:rPr>
        <w:t xml:space="preserve"> La transparencia en los reglamentos de las principales instituciones arbitrales a nivel internacional. A modo de introducción. 2. La transparencia en las reglas de arbitraje de la CCI. 3. La transparencia en las reglas de arbitraje del CIADI. 4</w:t>
      </w:r>
      <w:r w:rsidR="00EC737E">
        <w:rPr>
          <w:rFonts w:ascii="Verdana" w:hAnsi="Verdana"/>
          <w:sz w:val="20"/>
          <w:szCs w:val="20"/>
        </w:rPr>
        <w:t>.</w:t>
      </w:r>
      <w:r w:rsidRPr="00EC737E">
        <w:rPr>
          <w:rFonts w:ascii="Verdana" w:hAnsi="Verdana"/>
          <w:sz w:val="20"/>
          <w:szCs w:val="20"/>
        </w:rPr>
        <w:t xml:space="preserve"> La transparencia en las reglas de arbitraje de la CNUDMI: especial referencia al Reglamento sobre la Transparencia </w:t>
      </w:r>
      <w:r w:rsidR="00074FEE">
        <w:rPr>
          <w:rFonts w:ascii="Verdana" w:hAnsi="Verdana"/>
          <w:sz w:val="20"/>
          <w:szCs w:val="20"/>
        </w:rPr>
        <w:t>en el arbitraje inversionista-Estado</w:t>
      </w:r>
      <w:r w:rsidRPr="00EC737E">
        <w:rPr>
          <w:rFonts w:ascii="Verdana" w:hAnsi="Verdana"/>
          <w:sz w:val="20"/>
          <w:szCs w:val="20"/>
        </w:rPr>
        <w:t>. 4.1 Ámbito de aplicación del Reglamento sobre la Transparencia. 4.1.1 Aplicabilidad del Reglamento.</w:t>
      </w:r>
      <w:r w:rsidR="00E45E1F" w:rsidRPr="00EC737E">
        <w:rPr>
          <w:rFonts w:ascii="Verdana" w:hAnsi="Verdana"/>
          <w:sz w:val="20"/>
          <w:szCs w:val="20"/>
        </w:rPr>
        <w:t xml:space="preserve"> 4.1.2 Aplicación del Reglamento. 4.1.3 Discrecionalidad y autoridad del tribunal arbitral. 4.1.4 Instrumento aplicable en caso de conflicto. 4.1.5 Aplicación en arbitrajes que no estén sujetos al Reglamento de Arbitraje de la CNUDMI. 4.2 Publicación de información al inicio del procedimiento arbitral. 4.3 Publicación de documentos. 4.4 Escritos presentados por terceros. 4.5 Escritos presentados por partes en el tratado que no sean litigantes. 4.6 Audiencias. 4.7 Excepciones a la norma de transparencia. 4.7.1 Información confidencial o protegida. 4.7.2 Integridad del proceso arbitral. 4.8 Archivo de la información publicada. 5. La convencionalización de las Reglas sobre la Transparencia de la CNUDMI: la Convención de Mauricio. </w:t>
      </w:r>
      <w:r w:rsidRPr="00EC737E">
        <w:rPr>
          <w:rFonts w:ascii="Verdana" w:hAnsi="Verdana"/>
          <w:sz w:val="20"/>
          <w:szCs w:val="20"/>
        </w:rPr>
        <w:t>6. Consideraciones finales</w:t>
      </w:r>
      <w:r w:rsidR="00A748AB">
        <w:rPr>
          <w:rFonts w:ascii="Verdana" w:hAnsi="Verdana"/>
          <w:sz w:val="20"/>
          <w:szCs w:val="20"/>
        </w:rPr>
        <w:t xml:space="preserve">. </w:t>
      </w:r>
      <w:r w:rsidR="00EC737E" w:rsidRPr="00EC737E">
        <w:rPr>
          <w:rFonts w:ascii="Verdana" w:hAnsi="Verdana"/>
          <w:sz w:val="20"/>
          <w:szCs w:val="20"/>
        </w:rPr>
        <w:t>7. Bibliografía.</w:t>
      </w:r>
    </w:p>
    <w:p w:rsidR="004C77A5" w:rsidRDefault="004C77A5" w:rsidP="00E45E1F">
      <w:pPr>
        <w:spacing w:line="240" w:lineRule="auto"/>
        <w:ind w:firstLine="0"/>
        <w:rPr>
          <w:rFonts w:ascii="Verdana" w:hAnsi="Verdana"/>
          <w:sz w:val="20"/>
          <w:szCs w:val="20"/>
        </w:rPr>
      </w:pPr>
    </w:p>
    <w:p w:rsidR="001A047A" w:rsidRDefault="004C77A5" w:rsidP="00E45E1F">
      <w:pPr>
        <w:spacing w:line="240" w:lineRule="auto"/>
        <w:ind w:firstLine="0"/>
        <w:rPr>
          <w:rFonts w:ascii="Verdana" w:hAnsi="Verdana"/>
          <w:sz w:val="20"/>
          <w:szCs w:val="20"/>
        </w:rPr>
      </w:pPr>
      <w:r w:rsidRPr="004C77A5">
        <w:rPr>
          <w:rFonts w:ascii="Verdana" w:hAnsi="Verdana"/>
          <w:b/>
          <w:sz w:val="20"/>
          <w:szCs w:val="20"/>
        </w:rPr>
        <w:t>RESUMEN:</w:t>
      </w:r>
      <w:r w:rsidR="00C6283B">
        <w:rPr>
          <w:rFonts w:ascii="Verdana" w:hAnsi="Verdana"/>
          <w:sz w:val="20"/>
          <w:szCs w:val="20"/>
        </w:rPr>
        <w:t xml:space="preserve"> La</w:t>
      </w:r>
      <w:r>
        <w:rPr>
          <w:rFonts w:ascii="Verdana" w:hAnsi="Verdana"/>
          <w:sz w:val="20"/>
          <w:szCs w:val="20"/>
        </w:rPr>
        <w:t xml:space="preserve"> </w:t>
      </w:r>
      <w:r w:rsidR="00C6283B">
        <w:rPr>
          <w:rFonts w:ascii="Verdana" w:hAnsi="Verdana"/>
          <w:sz w:val="20"/>
          <w:szCs w:val="20"/>
        </w:rPr>
        <w:t xml:space="preserve">transparencia ha resultado muy aclamada </w:t>
      </w:r>
      <w:r>
        <w:rPr>
          <w:rFonts w:ascii="Verdana" w:hAnsi="Verdana"/>
          <w:sz w:val="20"/>
          <w:szCs w:val="20"/>
        </w:rPr>
        <w:t xml:space="preserve">en el arbitraje internacional, </w:t>
      </w:r>
      <w:r w:rsidR="00C6283B">
        <w:rPr>
          <w:rFonts w:ascii="Verdana" w:hAnsi="Verdana"/>
          <w:sz w:val="20"/>
          <w:szCs w:val="20"/>
        </w:rPr>
        <w:t>especialmente</w:t>
      </w:r>
      <w:r>
        <w:rPr>
          <w:rFonts w:ascii="Verdana" w:hAnsi="Verdana"/>
          <w:sz w:val="20"/>
          <w:szCs w:val="20"/>
        </w:rPr>
        <w:t xml:space="preserve"> en el arbitraje de inversiones, teniendo en cuenta el interés público presente en el sistema de solución de controversias inversionista-Estado. </w:t>
      </w:r>
      <w:r w:rsidR="00C6283B">
        <w:rPr>
          <w:rFonts w:ascii="Verdana" w:hAnsi="Verdana"/>
          <w:sz w:val="20"/>
          <w:szCs w:val="20"/>
        </w:rPr>
        <w:t xml:space="preserve">Sin embargo, actualmente la regulación de normas sobre la transparencia en los reglamentos </w:t>
      </w:r>
      <w:r w:rsidR="00ED3319">
        <w:rPr>
          <w:rFonts w:ascii="Verdana" w:hAnsi="Verdana"/>
          <w:sz w:val="20"/>
          <w:szCs w:val="20"/>
        </w:rPr>
        <w:t>de arbitraje</w:t>
      </w:r>
      <w:r w:rsidR="00C6283B">
        <w:rPr>
          <w:rFonts w:ascii="Verdana" w:hAnsi="Verdana"/>
          <w:sz w:val="20"/>
          <w:szCs w:val="20"/>
        </w:rPr>
        <w:t xml:space="preserve"> internacional</w:t>
      </w:r>
      <w:r w:rsidR="00FC0300">
        <w:rPr>
          <w:rFonts w:ascii="Verdana" w:hAnsi="Verdana"/>
          <w:sz w:val="20"/>
          <w:szCs w:val="20"/>
        </w:rPr>
        <w:t xml:space="preserve"> es insuficiente</w:t>
      </w:r>
      <w:r w:rsidR="00E62D58">
        <w:rPr>
          <w:rFonts w:ascii="Verdana" w:hAnsi="Verdana"/>
          <w:sz w:val="20"/>
          <w:szCs w:val="20"/>
        </w:rPr>
        <w:t>. Cuestión e</w:t>
      </w:r>
      <w:r w:rsidR="00C6283B">
        <w:rPr>
          <w:rFonts w:ascii="Verdana" w:hAnsi="Verdana"/>
          <w:sz w:val="20"/>
          <w:szCs w:val="20"/>
        </w:rPr>
        <w:t xml:space="preserve">sta que constituye </w:t>
      </w:r>
      <w:r w:rsidR="006879B8">
        <w:rPr>
          <w:rFonts w:ascii="Verdana" w:hAnsi="Verdana"/>
          <w:sz w:val="20"/>
          <w:szCs w:val="20"/>
        </w:rPr>
        <w:t>el punto de partida</w:t>
      </w:r>
      <w:r w:rsidR="00C6283B">
        <w:rPr>
          <w:rFonts w:ascii="Verdana" w:hAnsi="Verdana"/>
          <w:sz w:val="20"/>
          <w:szCs w:val="20"/>
        </w:rPr>
        <w:t xml:space="preserve"> del presente trabajo, teniéndose como referencia las reglas de</w:t>
      </w:r>
      <w:r w:rsidR="00815E4E">
        <w:rPr>
          <w:rFonts w:ascii="Verdana" w:hAnsi="Verdana"/>
          <w:sz w:val="20"/>
          <w:szCs w:val="20"/>
        </w:rPr>
        <w:t xml:space="preserve"> arbitraje de la CCI, el CIADI y la CNUDMI, así como </w:t>
      </w:r>
      <w:r w:rsidR="00C6283B">
        <w:rPr>
          <w:rFonts w:ascii="Verdana" w:hAnsi="Verdana"/>
          <w:sz w:val="20"/>
          <w:szCs w:val="20"/>
        </w:rPr>
        <w:t>la Convención de Mauricio sobre la tran</w:t>
      </w:r>
      <w:bookmarkStart w:id="3" w:name="_GoBack"/>
      <w:bookmarkEnd w:id="3"/>
      <w:r w:rsidR="00C6283B">
        <w:rPr>
          <w:rFonts w:ascii="Verdana" w:hAnsi="Verdana"/>
          <w:sz w:val="20"/>
          <w:szCs w:val="20"/>
        </w:rPr>
        <w:t>sparencia.</w:t>
      </w:r>
    </w:p>
    <w:p w:rsidR="001A047A" w:rsidRDefault="001A047A" w:rsidP="00E45E1F">
      <w:pPr>
        <w:spacing w:line="240" w:lineRule="auto"/>
        <w:ind w:firstLine="0"/>
        <w:rPr>
          <w:rFonts w:ascii="Verdana" w:hAnsi="Verdana"/>
          <w:sz w:val="20"/>
          <w:szCs w:val="20"/>
        </w:rPr>
      </w:pPr>
    </w:p>
    <w:p w:rsidR="001A047A" w:rsidRDefault="001A047A" w:rsidP="00E45E1F">
      <w:pPr>
        <w:spacing w:line="240" w:lineRule="auto"/>
        <w:ind w:firstLine="0"/>
        <w:rPr>
          <w:rFonts w:ascii="Verdana" w:hAnsi="Verdana"/>
          <w:sz w:val="20"/>
          <w:szCs w:val="20"/>
        </w:rPr>
      </w:pPr>
      <w:r w:rsidRPr="001A047A">
        <w:rPr>
          <w:rFonts w:ascii="Verdana" w:hAnsi="Verdana"/>
          <w:b/>
          <w:sz w:val="20"/>
          <w:szCs w:val="20"/>
        </w:rPr>
        <w:t>PALABRAS CLAVE:</w:t>
      </w:r>
      <w:r>
        <w:rPr>
          <w:rFonts w:ascii="Verdana" w:hAnsi="Verdana"/>
          <w:sz w:val="20"/>
          <w:szCs w:val="20"/>
        </w:rPr>
        <w:t xml:space="preserve"> Transparencia, Arbitraje internacional, Reglamentos de arbitraje.</w:t>
      </w:r>
    </w:p>
    <w:p w:rsidR="001A047A" w:rsidRDefault="001A047A" w:rsidP="00E45E1F">
      <w:pPr>
        <w:spacing w:line="240" w:lineRule="auto"/>
        <w:ind w:firstLine="0"/>
        <w:rPr>
          <w:rFonts w:ascii="Verdana" w:hAnsi="Verdana"/>
          <w:sz w:val="20"/>
          <w:szCs w:val="20"/>
        </w:rPr>
      </w:pPr>
    </w:p>
    <w:p w:rsidR="001A047A" w:rsidRDefault="001A047A" w:rsidP="00E45E1F">
      <w:pPr>
        <w:spacing w:line="240" w:lineRule="auto"/>
        <w:ind w:firstLine="0"/>
        <w:rPr>
          <w:rFonts w:ascii="Verdana" w:hAnsi="Verdana"/>
          <w:sz w:val="20"/>
          <w:szCs w:val="20"/>
        </w:rPr>
      </w:pPr>
      <w:r w:rsidRPr="001A047A">
        <w:rPr>
          <w:rFonts w:ascii="Verdana" w:hAnsi="Verdana"/>
          <w:b/>
          <w:sz w:val="20"/>
          <w:szCs w:val="20"/>
        </w:rPr>
        <w:t>ABSTRACT:</w:t>
      </w:r>
      <w:r>
        <w:rPr>
          <w:rFonts w:ascii="Verdana" w:hAnsi="Verdana"/>
          <w:sz w:val="20"/>
          <w:szCs w:val="20"/>
        </w:rPr>
        <w:t xml:space="preserve"> </w:t>
      </w:r>
      <w:proofErr w:type="spellStart"/>
      <w:r w:rsidR="00432C9B" w:rsidRPr="00432C9B">
        <w:rPr>
          <w:rFonts w:ascii="Verdana" w:hAnsi="Verdana"/>
          <w:sz w:val="20"/>
          <w:szCs w:val="20"/>
        </w:rPr>
        <w:t>Transparency</w:t>
      </w:r>
      <w:proofErr w:type="spellEnd"/>
      <w:r w:rsidR="00432C9B" w:rsidRPr="00432C9B">
        <w:rPr>
          <w:rFonts w:ascii="Verdana" w:hAnsi="Verdana"/>
          <w:sz w:val="20"/>
          <w:szCs w:val="20"/>
        </w:rPr>
        <w:t xml:space="preserve"> has </w:t>
      </w:r>
      <w:proofErr w:type="spellStart"/>
      <w:r w:rsidR="00432C9B" w:rsidRPr="00432C9B">
        <w:rPr>
          <w:rFonts w:ascii="Verdana" w:hAnsi="Verdana"/>
          <w:sz w:val="20"/>
          <w:szCs w:val="20"/>
        </w:rPr>
        <w:t>been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highly</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acclaimed</w:t>
      </w:r>
      <w:proofErr w:type="spellEnd"/>
      <w:r w:rsidR="00432C9B" w:rsidRPr="00432C9B">
        <w:rPr>
          <w:rFonts w:ascii="Verdana" w:hAnsi="Verdana"/>
          <w:sz w:val="20"/>
          <w:szCs w:val="20"/>
        </w:rPr>
        <w:t xml:space="preserve"> in </w:t>
      </w:r>
      <w:proofErr w:type="spellStart"/>
      <w:r w:rsidR="00432C9B" w:rsidRPr="00432C9B">
        <w:rPr>
          <w:rFonts w:ascii="Verdana" w:hAnsi="Verdana"/>
          <w:sz w:val="20"/>
          <w:szCs w:val="20"/>
        </w:rPr>
        <w:t>international</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arbitration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especially</w:t>
      </w:r>
      <w:proofErr w:type="spellEnd"/>
      <w:r w:rsidR="00432C9B" w:rsidRPr="00432C9B">
        <w:rPr>
          <w:rFonts w:ascii="Verdana" w:hAnsi="Verdana"/>
          <w:sz w:val="20"/>
          <w:szCs w:val="20"/>
        </w:rPr>
        <w:t xml:space="preserve"> in </w:t>
      </w:r>
      <w:proofErr w:type="spellStart"/>
      <w:r w:rsidR="00432C9B" w:rsidRPr="00432C9B">
        <w:rPr>
          <w:rFonts w:ascii="Verdana" w:hAnsi="Verdana"/>
          <w:sz w:val="20"/>
          <w:szCs w:val="20"/>
        </w:rPr>
        <w:t>investment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arbitration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taking</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into</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account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public</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interest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present</w:t>
      </w:r>
      <w:proofErr w:type="spellEnd"/>
      <w:r w:rsidR="00432C9B" w:rsidRPr="00432C9B">
        <w:rPr>
          <w:rFonts w:ascii="Verdana" w:hAnsi="Verdana"/>
          <w:sz w:val="20"/>
          <w:szCs w:val="20"/>
        </w:rPr>
        <w:t xml:space="preserve"> in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investor-state</w:t>
      </w:r>
      <w:proofErr w:type="spellEnd"/>
      <w:r w:rsidR="00432C9B" w:rsidRPr="00432C9B">
        <w:rPr>
          <w:rFonts w:ascii="Verdana" w:hAnsi="Verdana"/>
          <w:sz w:val="20"/>
          <w:szCs w:val="20"/>
        </w:rPr>
        <w:t xml:space="preserve"> dispute </w:t>
      </w:r>
      <w:proofErr w:type="spellStart"/>
      <w:r w:rsidR="00432C9B" w:rsidRPr="00432C9B">
        <w:rPr>
          <w:rFonts w:ascii="Verdana" w:hAnsi="Verdana"/>
          <w:sz w:val="20"/>
          <w:szCs w:val="20"/>
        </w:rPr>
        <w:t>settlement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system</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However</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currently</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regulation</w:t>
      </w:r>
      <w:proofErr w:type="spellEnd"/>
      <w:r w:rsidR="00432C9B" w:rsidRPr="00432C9B">
        <w:rPr>
          <w:rFonts w:ascii="Verdana" w:hAnsi="Verdana"/>
          <w:sz w:val="20"/>
          <w:szCs w:val="20"/>
        </w:rPr>
        <w:t xml:space="preserve"> of rules </w:t>
      </w:r>
      <w:proofErr w:type="spellStart"/>
      <w:r w:rsidR="00432C9B" w:rsidRPr="00432C9B">
        <w:rPr>
          <w:rFonts w:ascii="Verdana" w:hAnsi="Verdana"/>
          <w:sz w:val="20"/>
          <w:szCs w:val="20"/>
        </w:rPr>
        <w:t>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transparency</w:t>
      </w:r>
      <w:proofErr w:type="spellEnd"/>
      <w:r w:rsidR="00432C9B" w:rsidRPr="00432C9B">
        <w:rPr>
          <w:rFonts w:ascii="Verdana" w:hAnsi="Verdana"/>
          <w:sz w:val="20"/>
          <w:szCs w:val="20"/>
        </w:rPr>
        <w:t xml:space="preserve"> in </w:t>
      </w:r>
      <w:proofErr w:type="spellStart"/>
      <w:r w:rsidR="00432C9B" w:rsidRPr="00432C9B">
        <w:rPr>
          <w:rFonts w:ascii="Verdana" w:hAnsi="Verdana"/>
          <w:sz w:val="20"/>
          <w:szCs w:val="20"/>
        </w:rPr>
        <w:t>international</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arbitration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regulations</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is</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insufficient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This</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question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lastRenderedPageBreak/>
        <w:t>constitutes</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starting</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point</w:t>
      </w:r>
      <w:proofErr w:type="spellEnd"/>
      <w:r w:rsidR="00432C9B" w:rsidRPr="00432C9B">
        <w:rPr>
          <w:rFonts w:ascii="Verdana" w:hAnsi="Verdana"/>
          <w:sz w:val="20"/>
          <w:szCs w:val="20"/>
        </w:rPr>
        <w:t xml:space="preserve"> of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present</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work</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having</w:t>
      </w:r>
      <w:proofErr w:type="spellEnd"/>
      <w:r w:rsidR="00432C9B" w:rsidRPr="00432C9B">
        <w:rPr>
          <w:rFonts w:ascii="Verdana" w:hAnsi="Verdana"/>
          <w:sz w:val="20"/>
          <w:szCs w:val="20"/>
        </w:rPr>
        <w:t xml:space="preserve"> as </w:t>
      </w:r>
      <w:proofErr w:type="spellStart"/>
      <w:r w:rsidR="00432C9B" w:rsidRPr="00432C9B">
        <w:rPr>
          <w:rFonts w:ascii="Verdana" w:hAnsi="Verdana"/>
          <w:sz w:val="20"/>
          <w:szCs w:val="20"/>
        </w:rPr>
        <w:t>reference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arbitration</w:t>
      </w:r>
      <w:proofErr w:type="spellEnd"/>
      <w:r w:rsidR="00432C9B" w:rsidRPr="00432C9B">
        <w:rPr>
          <w:rFonts w:ascii="Verdana" w:hAnsi="Verdana"/>
          <w:sz w:val="20"/>
          <w:szCs w:val="20"/>
        </w:rPr>
        <w:t xml:space="preserve"> rules of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ICC,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ICSID and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UNCITRAL, as </w:t>
      </w:r>
      <w:proofErr w:type="spellStart"/>
      <w:r w:rsidR="00432C9B" w:rsidRPr="00432C9B">
        <w:rPr>
          <w:rFonts w:ascii="Verdana" w:hAnsi="Verdana"/>
          <w:sz w:val="20"/>
          <w:szCs w:val="20"/>
        </w:rPr>
        <w:t>well</w:t>
      </w:r>
      <w:proofErr w:type="spellEnd"/>
      <w:r w:rsidR="00432C9B" w:rsidRPr="00432C9B">
        <w:rPr>
          <w:rFonts w:ascii="Verdana" w:hAnsi="Verdana"/>
          <w:sz w:val="20"/>
          <w:szCs w:val="20"/>
        </w:rPr>
        <w:t xml:space="preserve"> as </w:t>
      </w:r>
      <w:proofErr w:type="spellStart"/>
      <w:r w:rsidR="00432C9B" w:rsidRPr="00432C9B">
        <w:rPr>
          <w:rFonts w:ascii="Verdana" w:hAnsi="Verdana"/>
          <w:sz w:val="20"/>
          <w:szCs w:val="20"/>
        </w:rPr>
        <w:t>the</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Mauritius</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Convention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on</w:t>
      </w:r>
      <w:proofErr w:type="spellEnd"/>
      <w:r w:rsidR="00432C9B" w:rsidRPr="00432C9B">
        <w:rPr>
          <w:rFonts w:ascii="Verdana" w:hAnsi="Verdana"/>
          <w:sz w:val="20"/>
          <w:szCs w:val="20"/>
        </w:rPr>
        <w:t xml:space="preserve"> </w:t>
      </w:r>
      <w:proofErr w:type="spellStart"/>
      <w:r w:rsidR="00432C9B" w:rsidRPr="00432C9B">
        <w:rPr>
          <w:rFonts w:ascii="Verdana" w:hAnsi="Verdana"/>
          <w:sz w:val="20"/>
          <w:szCs w:val="20"/>
        </w:rPr>
        <w:t>Transparency</w:t>
      </w:r>
      <w:proofErr w:type="spellEnd"/>
      <w:r w:rsidR="00432C9B" w:rsidRPr="00432C9B">
        <w:rPr>
          <w:rFonts w:ascii="Verdana" w:hAnsi="Verdana"/>
          <w:sz w:val="20"/>
          <w:szCs w:val="20"/>
        </w:rPr>
        <w:t>.</w:t>
      </w:r>
    </w:p>
    <w:p w:rsidR="00432C9B" w:rsidRDefault="00432C9B" w:rsidP="00E45E1F">
      <w:pPr>
        <w:spacing w:line="240" w:lineRule="auto"/>
        <w:ind w:firstLine="0"/>
        <w:rPr>
          <w:rFonts w:ascii="Verdana" w:hAnsi="Verdana"/>
          <w:sz w:val="20"/>
          <w:szCs w:val="20"/>
        </w:rPr>
      </w:pPr>
    </w:p>
    <w:p w:rsidR="001A047A" w:rsidRPr="00EC737E" w:rsidRDefault="001A047A" w:rsidP="00E45E1F">
      <w:pPr>
        <w:spacing w:line="240" w:lineRule="auto"/>
        <w:ind w:firstLine="0"/>
        <w:rPr>
          <w:rFonts w:ascii="Verdana" w:hAnsi="Verdana"/>
          <w:sz w:val="20"/>
          <w:szCs w:val="20"/>
        </w:rPr>
      </w:pPr>
      <w:r w:rsidRPr="001A047A">
        <w:rPr>
          <w:rFonts w:ascii="Verdana" w:hAnsi="Verdana"/>
          <w:b/>
          <w:sz w:val="20"/>
          <w:szCs w:val="20"/>
        </w:rPr>
        <w:t>KEY WORDS:</w:t>
      </w:r>
      <w:r>
        <w:rPr>
          <w:rFonts w:ascii="Verdana" w:hAnsi="Verdana"/>
          <w:sz w:val="20"/>
          <w:szCs w:val="20"/>
        </w:rPr>
        <w:t xml:space="preserve"> </w:t>
      </w:r>
      <w:r w:rsidRPr="001A047A">
        <w:rPr>
          <w:rFonts w:ascii="Verdana" w:hAnsi="Verdana"/>
          <w:sz w:val="20"/>
          <w:szCs w:val="20"/>
        </w:rPr>
        <w:t>Transparency, International Arbitration, Arbitration Regulations.</w:t>
      </w:r>
    </w:p>
    <w:p w:rsidR="001B1D8E" w:rsidRPr="009B2CA6" w:rsidRDefault="00E0258A" w:rsidP="006D3AD5">
      <w:pPr>
        <w:pStyle w:val="Ttulo2"/>
        <w:spacing w:line="240" w:lineRule="auto"/>
        <w:ind w:firstLine="0"/>
        <w:rPr>
          <w:rFonts w:ascii="Verdana" w:hAnsi="Verdana" w:cs="Times New Roman"/>
          <w:color w:val="auto"/>
          <w:sz w:val="20"/>
          <w:szCs w:val="20"/>
        </w:rPr>
      </w:pPr>
      <w:bookmarkStart w:id="4" w:name="_Toc536741910"/>
      <w:bookmarkStart w:id="5" w:name="_Toc1224433"/>
      <w:r w:rsidRPr="009B2CA6">
        <w:rPr>
          <w:rFonts w:ascii="Verdana" w:hAnsi="Verdana" w:cs="Times New Roman"/>
          <w:color w:val="auto"/>
          <w:sz w:val="20"/>
          <w:szCs w:val="20"/>
        </w:rPr>
        <w:t>1</w:t>
      </w:r>
      <w:r w:rsidR="00AC2810" w:rsidRPr="009B2CA6">
        <w:rPr>
          <w:rFonts w:ascii="Verdana" w:hAnsi="Verdana" w:cs="Times New Roman"/>
          <w:color w:val="auto"/>
          <w:sz w:val="20"/>
          <w:szCs w:val="20"/>
        </w:rPr>
        <w:t>.</w:t>
      </w:r>
      <w:r w:rsidR="001B1D8E" w:rsidRPr="009B2CA6">
        <w:rPr>
          <w:rFonts w:ascii="Verdana" w:hAnsi="Verdana" w:cs="Times New Roman"/>
          <w:color w:val="auto"/>
          <w:sz w:val="20"/>
          <w:szCs w:val="20"/>
        </w:rPr>
        <w:t xml:space="preserve"> </w:t>
      </w:r>
      <w:bookmarkStart w:id="6" w:name="_Hlk490522511"/>
      <w:bookmarkStart w:id="7" w:name="_Toc536741912"/>
      <w:bookmarkStart w:id="8" w:name="_Toc1224434"/>
      <w:bookmarkStart w:id="9" w:name="_Hlk488326786"/>
      <w:r w:rsidR="006643A9" w:rsidRPr="009B2CA6">
        <w:rPr>
          <w:rFonts w:ascii="Verdana" w:hAnsi="Verdana" w:cs="Times New Roman"/>
          <w:color w:val="auto"/>
          <w:sz w:val="20"/>
          <w:szCs w:val="20"/>
        </w:rPr>
        <w:t xml:space="preserve">La transparencia en los reglamentos de las principales instituciones arbitrales </w:t>
      </w:r>
      <w:bookmarkEnd w:id="6"/>
      <w:r w:rsidR="006643A9" w:rsidRPr="009B2CA6">
        <w:rPr>
          <w:rFonts w:ascii="Verdana" w:hAnsi="Verdana" w:cs="Times New Roman"/>
          <w:color w:val="auto"/>
          <w:sz w:val="20"/>
          <w:szCs w:val="20"/>
        </w:rPr>
        <w:t>a nivel internacional.</w:t>
      </w:r>
      <w:bookmarkEnd w:id="7"/>
      <w:bookmarkEnd w:id="8"/>
      <w:r w:rsidR="006643A9" w:rsidRPr="009B2CA6">
        <w:rPr>
          <w:rFonts w:ascii="Verdana" w:hAnsi="Verdana" w:cs="Times New Roman"/>
          <w:color w:val="auto"/>
          <w:sz w:val="20"/>
          <w:szCs w:val="20"/>
        </w:rPr>
        <w:t xml:space="preserve"> </w:t>
      </w:r>
      <w:bookmarkEnd w:id="9"/>
      <w:r w:rsidR="00532E40" w:rsidRPr="009B2CA6">
        <w:rPr>
          <w:rFonts w:ascii="Verdana" w:hAnsi="Verdana" w:cs="Times New Roman"/>
          <w:color w:val="auto"/>
          <w:sz w:val="20"/>
          <w:szCs w:val="20"/>
        </w:rPr>
        <w:t>A modo de i</w:t>
      </w:r>
      <w:r w:rsidR="001B1D8E" w:rsidRPr="009B2CA6">
        <w:rPr>
          <w:rFonts w:ascii="Verdana" w:hAnsi="Verdana" w:cs="Times New Roman"/>
          <w:color w:val="auto"/>
          <w:sz w:val="20"/>
          <w:szCs w:val="20"/>
        </w:rPr>
        <w:t>ntroducción</w:t>
      </w:r>
      <w:r w:rsidR="009148FD" w:rsidRPr="009B2CA6">
        <w:rPr>
          <w:rFonts w:ascii="Verdana" w:hAnsi="Verdana" w:cs="Times New Roman"/>
          <w:color w:val="auto"/>
          <w:sz w:val="20"/>
          <w:szCs w:val="20"/>
        </w:rPr>
        <w:t>.</w:t>
      </w:r>
      <w:bookmarkEnd w:id="4"/>
      <w:bookmarkEnd w:id="5"/>
    </w:p>
    <w:p w:rsidR="002F58CF" w:rsidRPr="009B2CA6" w:rsidRDefault="00D40E78"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En las últimas d</w:t>
      </w:r>
      <w:r w:rsidR="00FB66B1" w:rsidRPr="009B2CA6">
        <w:rPr>
          <w:rFonts w:ascii="Verdana" w:hAnsi="Verdana" w:cs="Times New Roman"/>
          <w:sz w:val="20"/>
          <w:szCs w:val="20"/>
        </w:rPr>
        <w:t>écadas ha sido muy significativa la atención que se le ha prestado a los procedimientos internacionales de solución</w:t>
      </w:r>
      <w:r w:rsidR="00AC235F" w:rsidRPr="009B2CA6">
        <w:rPr>
          <w:rFonts w:ascii="Verdana" w:hAnsi="Verdana" w:cs="Times New Roman"/>
          <w:sz w:val="20"/>
          <w:szCs w:val="20"/>
        </w:rPr>
        <w:t xml:space="preserve"> de controversias. </w:t>
      </w:r>
      <w:r w:rsidR="00D126DF" w:rsidRPr="009B2CA6">
        <w:rPr>
          <w:rFonts w:ascii="Verdana" w:hAnsi="Verdana" w:cs="Times New Roman"/>
          <w:sz w:val="20"/>
          <w:szCs w:val="20"/>
        </w:rPr>
        <w:t>En este sentido,</w:t>
      </w:r>
      <w:r w:rsidR="00FB66B1" w:rsidRPr="009B2CA6">
        <w:rPr>
          <w:rFonts w:ascii="Verdana" w:hAnsi="Verdana" w:cs="Times New Roman"/>
          <w:sz w:val="20"/>
          <w:szCs w:val="20"/>
        </w:rPr>
        <w:t xml:space="preserve"> muchas de las decisiones de tribunales y hasta de las propias cortes internacionales de arbitraje han allanado el camino respecto a la implementación de nuevas modificaciones en los procedimientos arbitrales en el ámbito internacional. </w:t>
      </w:r>
    </w:p>
    <w:p w:rsidR="009B2CA6" w:rsidRDefault="00441024"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Hoy en día, las</w:t>
      </w:r>
      <w:r w:rsidR="00977B63" w:rsidRPr="009B2CA6">
        <w:rPr>
          <w:rFonts w:ascii="Verdana" w:hAnsi="Verdana" w:cs="Times New Roman"/>
          <w:sz w:val="20"/>
          <w:szCs w:val="20"/>
        </w:rPr>
        <w:t xml:space="preserve"> d</w:t>
      </w:r>
      <w:r w:rsidR="00926674" w:rsidRPr="009B2CA6">
        <w:rPr>
          <w:rFonts w:ascii="Verdana" w:hAnsi="Verdana" w:cs="Times New Roman"/>
          <w:sz w:val="20"/>
          <w:szCs w:val="20"/>
        </w:rPr>
        <w:t>ecisiones judi</w:t>
      </w:r>
      <w:r w:rsidR="00D8577B" w:rsidRPr="009B2CA6">
        <w:rPr>
          <w:rFonts w:ascii="Verdana" w:hAnsi="Verdana" w:cs="Times New Roman"/>
          <w:sz w:val="20"/>
          <w:szCs w:val="20"/>
        </w:rPr>
        <w:t xml:space="preserve">ciales y </w:t>
      </w:r>
      <w:r w:rsidR="00926674" w:rsidRPr="009B2CA6">
        <w:rPr>
          <w:rFonts w:ascii="Verdana" w:hAnsi="Verdana" w:cs="Times New Roman"/>
          <w:sz w:val="20"/>
          <w:szCs w:val="20"/>
        </w:rPr>
        <w:t xml:space="preserve">reformas legislativas </w:t>
      </w:r>
      <w:r w:rsidR="00344CD2" w:rsidRPr="009B2CA6">
        <w:rPr>
          <w:rFonts w:ascii="Verdana" w:hAnsi="Verdana" w:cs="Times New Roman"/>
          <w:sz w:val="20"/>
          <w:szCs w:val="20"/>
        </w:rPr>
        <w:t>adoptadas en diferentes E</w:t>
      </w:r>
      <w:r w:rsidRPr="009B2CA6">
        <w:rPr>
          <w:rFonts w:ascii="Verdana" w:hAnsi="Verdana" w:cs="Times New Roman"/>
          <w:sz w:val="20"/>
          <w:szCs w:val="20"/>
        </w:rPr>
        <w:t>stados</w:t>
      </w:r>
      <w:r w:rsidR="00D8577B" w:rsidRPr="009B2CA6">
        <w:rPr>
          <w:rFonts w:ascii="Verdana" w:hAnsi="Verdana" w:cs="Times New Roman"/>
          <w:sz w:val="20"/>
          <w:szCs w:val="20"/>
        </w:rPr>
        <w:t xml:space="preserve"> </w:t>
      </w:r>
      <w:r w:rsidR="00926674" w:rsidRPr="009B2CA6">
        <w:rPr>
          <w:rFonts w:ascii="Verdana" w:hAnsi="Verdana" w:cs="Times New Roman"/>
          <w:sz w:val="20"/>
          <w:szCs w:val="20"/>
        </w:rPr>
        <w:t>demuestran que la confidencialidad se ha ido debilitando cada día más en cuanto principio del arbitraje</w:t>
      </w:r>
      <w:r w:rsidR="00926674" w:rsidRPr="009B2CA6">
        <w:rPr>
          <w:rStyle w:val="Refdenotaalpie"/>
          <w:rFonts w:ascii="Verdana" w:hAnsi="Verdana" w:cs="Times New Roman"/>
          <w:sz w:val="20"/>
          <w:szCs w:val="20"/>
        </w:rPr>
        <w:footnoteReference w:id="2"/>
      </w:r>
      <w:r w:rsidR="00926674" w:rsidRPr="009B2CA6">
        <w:rPr>
          <w:rFonts w:ascii="Verdana" w:hAnsi="Verdana" w:cs="Times New Roman"/>
          <w:sz w:val="20"/>
          <w:szCs w:val="20"/>
        </w:rPr>
        <w:t xml:space="preserve">. </w:t>
      </w:r>
      <w:r w:rsidR="00AB1AAB" w:rsidRPr="009B2CA6">
        <w:rPr>
          <w:rFonts w:ascii="Verdana" w:hAnsi="Verdana" w:cs="Times New Roman"/>
          <w:sz w:val="20"/>
          <w:szCs w:val="20"/>
        </w:rPr>
        <w:t>No obstante,</w:t>
      </w:r>
      <w:r w:rsidR="00926674" w:rsidRPr="009B2CA6">
        <w:rPr>
          <w:rFonts w:ascii="Verdana" w:hAnsi="Verdana" w:cs="Times New Roman"/>
          <w:sz w:val="20"/>
          <w:szCs w:val="20"/>
        </w:rPr>
        <w:t xml:space="preserve"> </w:t>
      </w:r>
      <w:r w:rsidR="00AB1AAB" w:rsidRPr="009B2CA6">
        <w:rPr>
          <w:rFonts w:ascii="Verdana" w:hAnsi="Verdana" w:cs="Times New Roman"/>
          <w:sz w:val="20"/>
          <w:szCs w:val="20"/>
        </w:rPr>
        <w:t xml:space="preserve">aunque </w:t>
      </w:r>
      <w:r w:rsidR="00926674" w:rsidRPr="009B2CA6">
        <w:rPr>
          <w:rFonts w:ascii="Verdana" w:hAnsi="Verdana" w:cs="Times New Roman"/>
          <w:sz w:val="20"/>
          <w:szCs w:val="20"/>
        </w:rPr>
        <w:t>mucho</w:t>
      </w:r>
      <w:r w:rsidR="00FA4DBB" w:rsidRPr="009B2CA6">
        <w:rPr>
          <w:rFonts w:ascii="Verdana" w:hAnsi="Verdana" w:cs="Times New Roman"/>
          <w:sz w:val="20"/>
          <w:szCs w:val="20"/>
        </w:rPr>
        <w:t>s Estados en sus legislaciones y también</w:t>
      </w:r>
      <w:r w:rsidR="00926674" w:rsidRPr="009B2CA6">
        <w:rPr>
          <w:rFonts w:ascii="Verdana" w:hAnsi="Verdana" w:cs="Times New Roman"/>
          <w:sz w:val="20"/>
          <w:szCs w:val="20"/>
        </w:rPr>
        <w:t xml:space="preserve"> reglamentos </w:t>
      </w:r>
      <w:r w:rsidR="00977B63" w:rsidRPr="009B2CA6">
        <w:rPr>
          <w:rFonts w:ascii="Verdana" w:hAnsi="Verdana" w:cs="Times New Roman"/>
          <w:sz w:val="20"/>
          <w:szCs w:val="20"/>
        </w:rPr>
        <w:t>de a</w:t>
      </w:r>
      <w:r w:rsidR="00391CE0" w:rsidRPr="009B2CA6">
        <w:rPr>
          <w:rFonts w:ascii="Verdana" w:hAnsi="Verdana" w:cs="Times New Roman"/>
          <w:sz w:val="20"/>
          <w:szCs w:val="20"/>
        </w:rPr>
        <w:t>lgunas instituciones arbitrales</w:t>
      </w:r>
      <w:r w:rsidR="00977B63" w:rsidRPr="009B2CA6">
        <w:rPr>
          <w:rFonts w:ascii="Verdana" w:hAnsi="Verdana" w:cs="Times New Roman"/>
          <w:sz w:val="20"/>
          <w:szCs w:val="20"/>
        </w:rPr>
        <w:t xml:space="preserve"> </w:t>
      </w:r>
      <w:r w:rsidR="00926674" w:rsidRPr="009B2CA6">
        <w:rPr>
          <w:rFonts w:ascii="Verdana" w:hAnsi="Verdana" w:cs="Times New Roman"/>
          <w:sz w:val="20"/>
          <w:szCs w:val="20"/>
        </w:rPr>
        <w:t>siguen apostando por la confidencialidad</w:t>
      </w:r>
      <w:r w:rsidR="00E94F8E" w:rsidRPr="009B2CA6">
        <w:rPr>
          <w:rFonts w:ascii="Verdana" w:hAnsi="Verdana" w:cs="Times New Roman"/>
          <w:sz w:val="20"/>
          <w:szCs w:val="20"/>
        </w:rPr>
        <w:t>,</w:t>
      </w:r>
      <w:r w:rsidR="00FA4DBB" w:rsidRPr="009B2CA6">
        <w:rPr>
          <w:rFonts w:ascii="Verdana" w:hAnsi="Verdana" w:cs="Times New Roman"/>
          <w:sz w:val="20"/>
          <w:szCs w:val="20"/>
        </w:rPr>
        <w:t xml:space="preserve"> </w:t>
      </w:r>
      <w:r w:rsidRPr="009B2CA6">
        <w:rPr>
          <w:rFonts w:ascii="Verdana" w:hAnsi="Verdana" w:cs="Times New Roman"/>
          <w:sz w:val="20"/>
          <w:szCs w:val="20"/>
        </w:rPr>
        <w:t xml:space="preserve">actualmente </w:t>
      </w:r>
      <w:r w:rsidR="0057548E" w:rsidRPr="009B2CA6">
        <w:rPr>
          <w:rFonts w:ascii="Verdana" w:hAnsi="Verdana" w:cs="Times New Roman"/>
          <w:sz w:val="20"/>
          <w:szCs w:val="20"/>
        </w:rPr>
        <w:t>se constata un considerable debilitamiento</w:t>
      </w:r>
      <w:r w:rsidRPr="009B2CA6">
        <w:rPr>
          <w:rFonts w:ascii="Verdana" w:hAnsi="Verdana" w:cs="Times New Roman"/>
          <w:sz w:val="20"/>
          <w:szCs w:val="20"/>
        </w:rPr>
        <w:t xml:space="preserve"> al respecto</w:t>
      </w:r>
      <w:r w:rsidR="00FA4DBB" w:rsidRPr="009B2CA6">
        <w:rPr>
          <w:rFonts w:ascii="Verdana" w:hAnsi="Verdana" w:cs="Times New Roman"/>
          <w:sz w:val="20"/>
          <w:szCs w:val="20"/>
        </w:rPr>
        <w:t>. Tanto es así</w:t>
      </w:r>
      <w:r w:rsidR="00AC2810" w:rsidRPr="009B2CA6">
        <w:rPr>
          <w:rFonts w:ascii="Verdana" w:hAnsi="Verdana" w:cs="Times New Roman"/>
          <w:sz w:val="20"/>
          <w:szCs w:val="20"/>
        </w:rPr>
        <w:t>,</w:t>
      </w:r>
      <w:r w:rsidR="00FA4DBB" w:rsidRPr="009B2CA6">
        <w:rPr>
          <w:rFonts w:ascii="Verdana" w:hAnsi="Verdana" w:cs="Times New Roman"/>
          <w:sz w:val="20"/>
          <w:szCs w:val="20"/>
        </w:rPr>
        <w:t xml:space="preserve"> que muchos Estados con gran tradición en el arbitraje ya no la consideran como un factor esencial del </w:t>
      </w:r>
      <w:r w:rsidR="00E94F8E" w:rsidRPr="009B2CA6">
        <w:rPr>
          <w:rFonts w:ascii="Verdana" w:hAnsi="Verdana" w:cs="Times New Roman"/>
          <w:sz w:val="20"/>
          <w:szCs w:val="20"/>
        </w:rPr>
        <w:t>mismo</w:t>
      </w:r>
      <w:r w:rsidR="00FA4DBB" w:rsidRPr="009B2CA6">
        <w:rPr>
          <w:rStyle w:val="Refdenotaalpie"/>
          <w:rFonts w:ascii="Verdana" w:hAnsi="Verdana" w:cs="Times New Roman"/>
          <w:sz w:val="20"/>
          <w:szCs w:val="20"/>
        </w:rPr>
        <w:footnoteReference w:id="3"/>
      </w:r>
      <w:r w:rsidRPr="009B2CA6">
        <w:rPr>
          <w:rFonts w:ascii="Verdana" w:hAnsi="Verdana" w:cs="Times New Roman"/>
          <w:sz w:val="20"/>
          <w:szCs w:val="20"/>
        </w:rPr>
        <w:t>.</w:t>
      </w:r>
      <w:r w:rsidR="00046DAB" w:rsidRPr="009B2CA6">
        <w:rPr>
          <w:rFonts w:ascii="Verdana" w:hAnsi="Verdana" w:cs="Times New Roman"/>
          <w:sz w:val="20"/>
          <w:szCs w:val="20"/>
        </w:rPr>
        <w:t xml:space="preserve"> </w:t>
      </w:r>
      <w:r w:rsidRPr="009B2CA6">
        <w:rPr>
          <w:rFonts w:ascii="Verdana" w:hAnsi="Verdana" w:cs="Times New Roman"/>
          <w:sz w:val="20"/>
          <w:szCs w:val="20"/>
        </w:rPr>
        <w:t>N</w:t>
      </w:r>
      <w:r w:rsidR="00046DAB" w:rsidRPr="009B2CA6">
        <w:rPr>
          <w:rFonts w:ascii="Verdana" w:hAnsi="Verdana" w:cs="Times New Roman"/>
          <w:sz w:val="20"/>
          <w:szCs w:val="20"/>
        </w:rPr>
        <w:t xml:space="preserve">o podemos negar </w:t>
      </w:r>
      <w:r w:rsidRPr="009B2CA6">
        <w:rPr>
          <w:rFonts w:ascii="Verdana" w:hAnsi="Verdana" w:cs="Times New Roman"/>
          <w:sz w:val="20"/>
          <w:szCs w:val="20"/>
        </w:rPr>
        <w:t xml:space="preserve">que la confidencialidad </w:t>
      </w:r>
      <w:r w:rsidR="00046DAB" w:rsidRPr="009B2CA6">
        <w:rPr>
          <w:rFonts w:ascii="Verdana" w:hAnsi="Verdana" w:cs="Times New Roman"/>
          <w:sz w:val="20"/>
          <w:szCs w:val="20"/>
        </w:rPr>
        <w:t xml:space="preserve">aún conserva un peso importante en el arbitraje comercial, </w:t>
      </w:r>
      <w:r w:rsidR="00391CE0" w:rsidRPr="009B2CA6">
        <w:rPr>
          <w:rFonts w:ascii="Verdana" w:hAnsi="Verdana" w:cs="Times New Roman"/>
          <w:sz w:val="20"/>
          <w:szCs w:val="20"/>
        </w:rPr>
        <w:t>pero</w:t>
      </w:r>
      <w:r w:rsidRPr="009B2CA6">
        <w:rPr>
          <w:rFonts w:ascii="Verdana" w:hAnsi="Verdana" w:cs="Times New Roman"/>
          <w:sz w:val="20"/>
          <w:szCs w:val="20"/>
        </w:rPr>
        <w:t xml:space="preserve"> muy distante de la</w:t>
      </w:r>
      <w:r w:rsidR="00046DAB" w:rsidRPr="009B2CA6">
        <w:rPr>
          <w:rFonts w:ascii="Verdana" w:hAnsi="Verdana" w:cs="Times New Roman"/>
          <w:sz w:val="20"/>
          <w:szCs w:val="20"/>
        </w:rPr>
        <w:t xml:space="preserve"> solidez que le caracterizaba como elemento esencial del arbitraje comercial</w:t>
      </w:r>
      <w:r w:rsidR="00046DAB" w:rsidRPr="009B2CA6">
        <w:rPr>
          <w:rStyle w:val="Refdenotaalpie"/>
          <w:rFonts w:ascii="Verdana" w:hAnsi="Verdana" w:cs="Times New Roman"/>
          <w:sz w:val="20"/>
          <w:szCs w:val="20"/>
        </w:rPr>
        <w:footnoteReference w:id="4"/>
      </w:r>
      <w:r w:rsidR="00046DAB" w:rsidRPr="009B2CA6">
        <w:rPr>
          <w:rFonts w:ascii="Verdana" w:hAnsi="Verdana" w:cs="Times New Roman"/>
          <w:sz w:val="20"/>
          <w:szCs w:val="20"/>
        </w:rPr>
        <w:t xml:space="preserve">. </w:t>
      </w:r>
    </w:p>
    <w:p w:rsidR="00F97F6A" w:rsidRPr="009B2CA6" w:rsidRDefault="00B755E3"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D</w:t>
      </w:r>
      <w:r w:rsidR="00DC7AD9" w:rsidRPr="009B2CA6">
        <w:rPr>
          <w:rFonts w:ascii="Verdana" w:hAnsi="Verdana" w:cs="Times New Roman"/>
          <w:sz w:val="20"/>
          <w:szCs w:val="20"/>
        </w:rPr>
        <w:t>esde el</w:t>
      </w:r>
      <w:r w:rsidRPr="009B2CA6">
        <w:rPr>
          <w:rFonts w:ascii="Verdana" w:hAnsi="Verdana" w:cs="Times New Roman"/>
          <w:sz w:val="20"/>
          <w:szCs w:val="20"/>
        </w:rPr>
        <w:t xml:space="preserve"> punto de vista práctico, la ausencia</w:t>
      </w:r>
      <w:r w:rsidR="00D8577B" w:rsidRPr="009B2CA6">
        <w:rPr>
          <w:rFonts w:ascii="Verdana" w:hAnsi="Verdana" w:cs="Times New Roman"/>
          <w:sz w:val="20"/>
          <w:szCs w:val="20"/>
        </w:rPr>
        <w:t xml:space="preserve"> </w:t>
      </w:r>
      <w:r w:rsidRPr="009B2CA6">
        <w:rPr>
          <w:rFonts w:ascii="Verdana" w:hAnsi="Verdana" w:cs="Times New Roman"/>
          <w:sz w:val="20"/>
          <w:szCs w:val="20"/>
        </w:rPr>
        <w:t xml:space="preserve">de </w:t>
      </w:r>
      <w:r w:rsidR="00D8577B" w:rsidRPr="009B2CA6">
        <w:rPr>
          <w:rFonts w:ascii="Verdana" w:hAnsi="Verdana" w:cs="Times New Roman"/>
          <w:sz w:val="20"/>
          <w:szCs w:val="20"/>
        </w:rPr>
        <w:t>confidencialidad y privacidad en el ar</w:t>
      </w:r>
      <w:r w:rsidRPr="009B2CA6">
        <w:rPr>
          <w:rFonts w:ascii="Verdana" w:hAnsi="Verdana" w:cs="Times New Roman"/>
          <w:sz w:val="20"/>
          <w:szCs w:val="20"/>
        </w:rPr>
        <w:t>bitraje comercial condiciona</w:t>
      </w:r>
      <w:r w:rsidR="00D8577B" w:rsidRPr="009B2CA6">
        <w:rPr>
          <w:rFonts w:ascii="Verdana" w:hAnsi="Verdana" w:cs="Times New Roman"/>
          <w:sz w:val="20"/>
          <w:szCs w:val="20"/>
        </w:rPr>
        <w:t xml:space="preserve"> la existencia</w:t>
      </w:r>
      <w:r w:rsidRPr="009B2CA6">
        <w:rPr>
          <w:rFonts w:ascii="Verdana" w:hAnsi="Verdana" w:cs="Times New Roman"/>
          <w:sz w:val="20"/>
          <w:szCs w:val="20"/>
        </w:rPr>
        <w:t xml:space="preserve"> de transparencia en el mismo</w:t>
      </w:r>
      <w:r w:rsidR="00C60F25">
        <w:rPr>
          <w:rFonts w:ascii="Verdana" w:hAnsi="Verdana" w:cs="Times New Roman"/>
          <w:sz w:val="20"/>
          <w:szCs w:val="20"/>
        </w:rPr>
        <w:t>,</w:t>
      </w:r>
      <w:r w:rsidRPr="009B2CA6">
        <w:rPr>
          <w:rFonts w:ascii="Verdana" w:hAnsi="Verdana" w:cs="Times New Roman"/>
          <w:sz w:val="20"/>
          <w:szCs w:val="20"/>
        </w:rPr>
        <w:t xml:space="preserve"> o</w:t>
      </w:r>
      <w:r w:rsidR="00D8577B" w:rsidRPr="009B2CA6">
        <w:rPr>
          <w:rFonts w:ascii="Verdana" w:hAnsi="Verdana" w:cs="Times New Roman"/>
          <w:sz w:val="20"/>
          <w:szCs w:val="20"/>
        </w:rPr>
        <w:t xml:space="preserve"> sea, la transparencia </w:t>
      </w:r>
      <w:r w:rsidRPr="009B2CA6">
        <w:rPr>
          <w:rFonts w:ascii="Verdana" w:hAnsi="Verdana" w:cs="Times New Roman"/>
          <w:sz w:val="20"/>
          <w:szCs w:val="20"/>
        </w:rPr>
        <w:t>no es más que la</w:t>
      </w:r>
      <w:r w:rsidR="00D8577B" w:rsidRPr="009B2CA6">
        <w:rPr>
          <w:rFonts w:ascii="Verdana" w:hAnsi="Verdana" w:cs="Times New Roman"/>
          <w:sz w:val="20"/>
          <w:szCs w:val="20"/>
        </w:rPr>
        <w:t xml:space="preserve"> negación de la confidencialidad en el a</w:t>
      </w:r>
      <w:r w:rsidR="00520D34" w:rsidRPr="009B2CA6">
        <w:rPr>
          <w:rFonts w:ascii="Verdana" w:hAnsi="Verdana" w:cs="Times New Roman"/>
          <w:sz w:val="20"/>
          <w:szCs w:val="20"/>
        </w:rPr>
        <w:t>rbitraje internacional, logrando</w:t>
      </w:r>
      <w:r w:rsidR="00FE66BB" w:rsidRPr="009B2CA6">
        <w:rPr>
          <w:rFonts w:ascii="Verdana" w:hAnsi="Verdana" w:cs="Times New Roman"/>
          <w:sz w:val="20"/>
          <w:szCs w:val="20"/>
        </w:rPr>
        <w:t xml:space="preserve"> que</w:t>
      </w:r>
      <w:r w:rsidR="00D8577B" w:rsidRPr="009B2CA6">
        <w:rPr>
          <w:rFonts w:ascii="Verdana" w:hAnsi="Verdana" w:cs="Times New Roman"/>
          <w:sz w:val="20"/>
          <w:szCs w:val="20"/>
        </w:rPr>
        <w:t xml:space="preserve"> el</w:t>
      </w:r>
      <w:r w:rsidR="0009556F" w:rsidRPr="009B2CA6">
        <w:rPr>
          <w:rFonts w:ascii="Verdana" w:hAnsi="Verdana" w:cs="Times New Roman"/>
          <w:sz w:val="20"/>
          <w:szCs w:val="20"/>
        </w:rPr>
        <w:t xml:space="preserve"> mismo</w:t>
      </w:r>
      <w:r w:rsidR="00FE66BB" w:rsidRPr="009B2CA6">
        <w:rPr>
          <w:rFonts w:ascii="Verdana" w:hAnsi="Verdana" w:cs="Times New Roman"/>
          <w:sz w:val="20"/>
          <w:szCs w:val="20"/>
        </w:rPr>
        <w:t xml:space="preserve"> sea</w:t>
      </w:r>
      <w:r w:rsidR="0009556F" w:rsidRPr="009B2CA6">
        <w:rPr>
          <w:rFonts w:ascii="Verdana" w:hAnsi="Verdana" w:cs="Times New Roman"/>
          <w:sz w:val="20"/>
          <w:szCs w:val="20"/>
        </w:rPr>
        <w:t xml:space="preserve"> más accesible a terceros</w:t>
      </w:r>
      <w:r w:rsidR="00D8577B" w:rsidRPr="009B2CA6">
        <w:rPr>
          <w:rFonts w:ascii="Verdana" w:hAnsi="Verdana" w:cs="Times New Roman"/>
          <w:sz w:val="20"/>
          <w:szCs w:val="20"/>
        </w:rPr>
        <w:t xml:space="preserve"> y </w:t>
      </w:r>
      <w:r w:rsidRPr="009B2CA6">
        <w:rPr>
          <w:rFonts w:ascii="Verdana" w:hAnsi="Verdana" w:cs="Times New Roman"/>
          <w:sz w:val="20"/>
          <w:szCs w:val="20"/>
        </w:rPr>
        <w:t xml:space="preserve">al </w:t>
      </w:r>
      <w:r w:rsidR="00D8577B" w:rsidRPr="009B2CA6">
        <w:rPr>
          <w:rFonts w:ascii="Verdana" w:hAnsi="Verdana" w:cs="Times New Roman"/>
          <w:sz w:val="20"/>
          <w:szCs w:val="20"/>
        </w:rPr>
        <w:t>público</w:t>
      </w:r>
      <w:r w:rsidR="0009556F" w:rsidRPr="009B2CA6">
        <w:rPr>
          <w:rFonts w:ascii="Verdana" w:hAnsi="Verdana" w:cs="Times New Roman"/>
          <w:sz w:val="20"/>
          <w:szCs w:val="20"/>
        </w:rPr>
        <w:t xml:space="preserve"> en general</w:t>
      </w:r>
      <w:r w:rsidR="00D8577B" w:rsidRPr="009B2CA6">
        <w:rPr>
          <w:rFonts w:ascii="Verdana" w:hAnsi="Verdana" w:cs="Times New Roman"/>
          <w:sz w:val="20"/>
          <w:szCs w:val="20"/>
        </w:rPr>
        <w:t>.</w:t>
      </w:r>
      <w:r w:rsidR="00DC7AD9" w:rsidRPr="009B2CA6">
        <w:rPr>
          <w:rFonts w:ascii="Verdana" w:hAnsi="Verdana" w:cs="Times New Roman"/>
          <w:sz w:val="20"/>
          <w:szCs w:val="20"/>
        </w:rPr>
        <w:t xml:space="preserve"> </w:t>
      </w:r>
      <w:r w:rsidR="00520D34" w:rsidRPr="009B2CA6">
        <w:rPr>
          <w:rFonts w:ascii="Verdana" w:hAnsi="Verdana" w:cs="Times New Roman"/>
          <w:sz w:val="20"/>
          <w:szCs w:val="20"/>
        </w:rPr>
        <w:t xml:space="preserve">Hay que plantearse, pues, </w:t>
      </w:r>
      <w:r w:rsidR="00D126DF" w:rsidRPr="009B2CA6">
        <w:rPr>
          <w:rFonts w:ascii="Verdana" w:hAnsi="Verdana" w:cs="Times New Roman"/>
          <w:sz w:val="20"/>
          <w:szCs w:val="20"/>
        </w:rPr>
        <w:t>¿</w:t>
      </w:r>
      <w:r w:rsidR="00520D34" w:rsidRPr="009B2CA6">
        <w:rPr>
          <w:rFonts w:ascii="Verdana" w:hAnsi="Verdana" w:cs="Times New Roman"/>
          <w:sz w:val="20"/>
          <w:szCs w:val="20"/>
        </w:rPr>
        <w:t>hasta qué punto son</w:t>
      </w:r>
      <w:r w:rsidR="00DC7AD9" w:rsidRPr="009B2CA6">
        <w:rPr>
          <w:rFonts w:ascii="Verdana" w:hAnsi="Verdana" w:cs="Times New Roman"/>
          <w:sz w:val="20"/>
          <w:szCs w:val="20"/>
        </w:rPr>
        <w:t xml:space="preserve"> </w:t>
      </w:r>
      <w:r w:rsidR="00520D34" w:rsidRPr="009B2CA6">
        <w:rPr>
          <w:rFonts w:ascii="Verdana" w:hAnsi="Verdana" w:cs="Times New Roman"/>
          <w:sz w:val="20"/>
          <w:szCs w:val="20"/>
        </w:rPr>
        <w:t>transparentes</w:t>
      </w:r>
      <w:r w:rsidR="00DC7AD9" w:rsidRPr="009B2CA6">
        <w:rPr>
          <w:rFonts w:ascii="Verdana" w:hAnsi="Verdana" w:cs="Times New Roman"/>
          <w:sz w:val="20"/>
          <w:szCs w:val="20"/>
        </w:rPr>
        <w:t xml:space="preserve"> las reglas que rigen el ar</w:t>
      </w:r>
      <w:r w:rsidR="00520D34" w:rsidRPr="009B2CA6">
        <w:rPr>
          <w:rFonts w:ascii="Verdana" w:hAnsi="Verdana" w:cs="Times New Roman"/>
          <w:sz w:val="20"/>
          <w:szCs w:val="20"/>
        </w:rPr>
        <w:t>bitraje comercial internacional</w:t>
      </w:r>
      <w:r w:rsidR="00EC3408" w:rsidRPr="009B2CA6">
        <w:rPr>
          <w:rFonts w:ascii="Verdana" w:hAnsi="Verdana" w:cs="Times New Roman"/>
          <w:sz w:val="20"/>
          <w:szCs w:val="20"/>
        </w:rPr>
        <w:t xml:space="preserve"> y el arbitraje de inversiones</w:t>
      </w:r>
      <w:r w:rsidR="00D126DF" w:rsidRPr="009B2CA6">
        <w:rPr>
          <w:rFonts w:ascii="Verdana" w:hAnsi="Verdana" w:cs="Times New Roman"/>
          <w:sz w:val="20"/>
          <w:szCs w:val="20"/>
        </w:rPr>
        <w:t>?</w:t>
      </w:r>
      <w:r w:rsidR="00520D34" w:rsidRPr="009B2CA6">
        <w:rPr>
          <w:rFonts w:ascii="Verdana" w:hAnsi="Verdana" w:cs="Times New Roman"/>
          <w:sz w:val="20"/>
          <w:szCs w:val="20"/>
        </w:rPr>
        <w:t xml:space="preserve"> En busca de </w:t>
      </w:r>
      <w:r w:rsidR="006643A9" w:rsidRPr="009B2CA6">
        <w:rPr>
          <w:rFonts w:ascii="Verdana" w:hAnsi="Verdana" w:cs="Times New Roman"/>
          <w:sz w:val="20"/>
          <w:szCs w:val="20"/>
        </w:rPr>
        <w:t xml:space="preserve">una </w:t>
      </w:r>
      <w:r w:rsidR="00520D34" w:rsidRPr="009B2CA6">
        <w:rPr>
          <w:rFonts w:ascii="Verdana" w:hAnsi="Verdana" w:cs="Times New Roman"/>
          <w:sz w:val="20"/>
          <w:szCs w:val="20"/>
        </w:rPr>
        <w:t>respuesta a dicha interrogante</w:t>
      </w:r>
      <w:r w:rsidR="00DC7AD9" w:rsidRPr="009B2CA6">
        <w:rPr>
          <w:rFonts w:ascii="Verdana" w:hAnsi="Verdana" w:cs="Times New Roman"/>
          <w:sz w:val="20"/>
          <w:szCs w:val="20"/>
        </w:rPr>
        <w:t>, nos adentra</w:t>
      </w:r>
      <w:r w:rsidR="00245038" w:rsidRPr="009B2CA6">
        <w:rPr>
          <w:rFonts w:ascii="Verdana" w:hAnsi="Verdana" w:cs="Times New Roman"/>
          <w:sz w:val="20"/>
          <w:szCs w:val="20"/>
        </w:rPr>
        <w:t>mos en el análisis de los reglamentos</w:t>
      </w:r>
      <w:r w:rsidR="00DC7AD9" w:rsidRPr="009B2CA6">
        <w:rPr>
          <w:rFonts w:ascii="Verdana" w:hAnsi="Verdana" w:cs="Times New Roman"/>
          <w:sz w:val="20"/>
          <w:szCs w:val="20"/>
        </w:rPr>
        <w:t xml:space="preserve"> de arbitraje</w:t>
      </w:r>
      <w:r w:rsidR="00EC3408" w:rsidRPr="009B2CA6">
        <w:rPr>
          <w:rFonts w:ascii="Verdana" w:hAnsi="Verdana" w:cs="Times New Roman"/>
          <w:sz w:val="20"/>
          <w:szCs w:val="20"/>
        </w:rPr>
        <w:t xml:space="preserve"> de la instituciones que consideramos más importante y de mayor repercusió</w:t>
      </w:r>
      <w:r w:rsidR="00CD1003" w:rsidRPr="009B2CA6">
        <w:rPr>
          <w:rFonts w:ascii="Verdana" w:hAnsi="Verdana" w:cs="Times New Roman"/>
          <w:sz w:val="20"/>
          <w:szCs w:val="20"/>
        </w:rPr>
        <w:t>n a nivel internacional, dígase</w:t>
      </w:r>
      <w:r w:rsidR="00D126DF" w:rsidRPr="009B2CA6">
        <w:rPr>
          <w:rFonts w:ascii="Verdana" w:hAnsi="Verdana" w:cs="Times New Roman"/>
          <w:sz w:val="20"/>
          <w:szCs w:val="20"/>
        </w:rPr>
        <w:t>,</w:t>
      </w:r>
      <w:r w:rsidR="00DC7AD9" w:rsidRPr="009B2CA6">
        <w:rPr>
          <w:rFonts w:ascii="Verdana" w:hAnsi="Verdana" w:cs="Times New Roman"/>
          <w:sz w:val="20"/>
          <w:szCs w:val="20"/>
        </w:rPr>
        <w:t xml:space="preserve"> la</w:t>
      </w:r>
      <w:r w:rsidR="00EC3408" w:rsidRPr="009B2CA6">
        <w:rPr>
          <w:rFonts w:ascii="Verdana" w:hAnsi="Verdana" w:cs="Times New Roman"/>
          <w:sz w:val="20"/>
          <w:szCs w:val="20"/>
        </w:rPr>
        <w:t>s reglas de arbitraje de la</w:t>
      </w:r>
      <w:r w:rsidR="00DC7AD9" w:rsidRPr="009B2CA6">
        <w:rPr>
          <w:rFonts w:ascii="Verdana" w:hAnsi="Verdana" w:cs="Times New Roman"/>
          <w:sz w:val="20"/>
          <w:szCs w:val="20"/>
        </w:rPr>
        <w:t xml:space="preserve"> Cámara de </w:t>
      </w:r>
      <w:r w:rsidR="00520D34" w:rsidRPr="009B2CA6">
        <w:rPr>
          <w:rFonts w:ascii="Verdana" w:hAnsi="Verdana" w:cs="Times New Roman"/>
          <w:sz w:val="20"/>
          <w:szCs w:val="20"/>
        </w:rPr>
        <w:t>Comercio Internacional de París</w:t>
      </w:r>
      <w:r w:rsidR="00C50BD6" w:rsidRPr="009B2CA6">
        <w:rPr>
          <w:rFonts w:ascii="Verdana" w:hAnsi="Verdana" w:cs="Times New Roman"/>
          <w:sz w:val="20"/>
          <w:szCs w:val="20"/>
        </w:rPr>
        <w:t xml:space="preserve"> (CCI),</w:t>
      </w:r>
      <w:r w:rsidR="00DC7AD9" w:rsidRPr="009B2CA6">
        <w:rPr>
          <w:rFonts w:ascii="Verdana" w:hAnsi="Verdana" w:cs="Times New Roman"/>
          <w:sz w:val="20"/>
          <w:szCs w:val="20"/>
        </w:rPr>
        <w:t xml:space="preserve"> </w:t>
      </w:r>
      <w:r w:rsidR="00EC3408" w:rsidRPr="009B2CA6">
        <w:rPr>
          <w:rFonts w:ascii="Verdana" w:hAnsi="Verdana" w:cs="Times New Roman"/>
          <w:sz w:val="20"/>
          <w:szCs w:val="20"/>
        </w:rPr>
        <w:t xml:space="preserve">las </w:t>
      </w:r>
      <w:r w:rsidR="00245038" w:rsidRPr="009B2CA6">
        <w:rPr>
          <w:rFonts w:ascii="Verdana" w:hAnsi="Verdana" w:cs="Times New Roman"/>
          <w:sz w:val="20"/>
          <w:szCs w:val="20"/>
        </w:rPr>
        <w:t xml:space="preserve">reglas </w:t>
      </w:r>
      <w:r w:rsidR="00EC3408" w:rsidRPr="009B2CA6">
        <w:rPr>
          <w:rFonts w:ascii="Verdana" w:hAnsi="Verdana" w:cs="Times New Roman"/>
          <w:sz w:val="20"/>
          <w:szCs w:val="20"/>
        </w:rPr>
        <w:t>del</w:t>
      </w:r>
      <w:r w:rsidR="00520D34" w:rsidRPr="009B2CA6">
        <w:rPr>
          <w:rFonts w:ascii="Verdana" w:hAnsi="Verdana" w:cs="Times New Roman"/>
          <w:sz w:val="20"/>
          <w:szCs w:val="20"/>
        </w:rPr>
        <w:t xml:space="preserve"> </w:t>
      </w:r>
      <w:r w:rsidR="00134C5A" w:rsidRPr="00134C5A">
        <w:rPr>
          <w:rFonts w:ascii="Verdana" w:hAnsi="Verdana" w:cs="Times New Roman"/>
          <w:sz w:val="20"/>
          <w:szCs w:val="20"/>
        </w:rPr>
        <w:t>Centro Internacional de Arreglo de Diferencias Relativas a Inversiones</w:t>
      </w:r>
      <w:r w:rsidR="00134C5A">
        <w:rPr>
          <w:rFonts w:ascii="Verdana" w:hAnsi="Verdana" w:cs="Times New Roman"/>
          <w:sz w:val="20"/>
          <w:szCs w:val="20"/>
        </w:rPr>
        <w:t xml:space="preserve"> (</w:t>
      </w:r>
      <w:r w:rsidR="00520D34" w:rsidRPr="009B2CA6">
        <w:rPr>
          <w:rFonts w:ascii="Verdana" w:hAnsi="Verdana" w:cs="Times New Roman"/>
          <w:sz w:val="20"/>
          <w:szCs w:val="20"/>
        </w:rPr>
        <w:t>CIADI</w:t>
      </w:r>
      <w:r w:rsidR="00134C5A">
        <w:rPr>
          <w:rFonts w:ascii="Verdana" w:hAnsi="Verdana" w:cs="Times New Roman"/>
          <w:sz w:val="20"/>
          <w:szCs w:val="20"/>
        </w:rPr>
        <w:t>)</w:t>
      </w:r>
      <w:r w:rsidR="00520D34" w:rsidRPr="009B2CA6">
        <w:rPr>
          <w:rFonts w:ascii="Verdana" w:hAnsi="Verdana" w:cs="Times New Roman"/>
          <w:sz w:val="20"/>
          <w:szCs w:val="20"/>
        </w:rPr>
        <w:t xml:space="preserve"> y el</w:t>
      </w:r>
      <w:r w:rsidR="00754A61" w:rsidRPr="009B2CA6">
        <w:rPr>
          <w:rFonts w:ascii="Verdana" w:hAnsi="Verdana" w:cs="Times New Roman"/>
          <w:sz w:val="20"/>
          <w:szCs w:val="20"/>
        </w:rPr>
        <w:t xml:space="preserve"> </w:t>
      </w:r>
      <w:r w:rsidR="00520D34" w:rsidRPr="009B2CA6">
        <w:rPr>
          <w:rFonts w:ascii="Verdana" w:hAnsi="Verdana" w:cs="Times New Roman"/>
          <w:sz w:val="20"/>
          <w:szCs w:val="20"/>
        </w:rPr>
        <w:t xml:space="preserve">Reglamento sobre la Transparencia de la </w:t>
      </w:r>
      <w:r w:rsidR="00134C5A" w:rsidRPr="00134C5A">
        <w:rPr>
          <w:rFonts w:ascii="Verdana" w:hAnsi="Verdana" w:cs="Times New Roman"/>
          <w:sz w:val="20"/>
          <w:szCs w:val="20"/>
        </w:rPr>
        <w:t xml:space="preserve">Comisión de las Naciones Unidas para el Derecho Mercantil Internacional </w:t>
      </w:r>
      <w:r w:rsidR="00134C5A">
        <w:rPr>
          <w:rFonts w:ascii="Verdana" w:hAnsi="Verdana" w:cs="Times New Roman"/>
          <w:sz w:val="20"/>
          <w:szCs w:val="20"/>
        </w:rPr>
        <w:t>(</w:t>
      </w:r>
      <w:r w:rsidR="00520D34" w:rsidRPr="009B2CA6">
        <w:rPr>
          <w:rFonts w:ascii="Verdana" w:hAnsi="Verdana" w:cs="Times New Roman"/>
          <w:sz w:val="20"/>
          <w:szCs w:val="20"/>
        </w:rPr>
        <w:t>CNUDMI</w:t>
      </w:r>
      <w:r w:rsidR="00134C5A">
        <w:rPr>
          <w:rFonts w:ascii="Verdana" w:hAnsi="Verdana" w:cs="Times New Roman"/>
          <w:sz w:val="20"/>
          <w:szCs w:val="20"/>
        </w:rPr>
        <w:t>)</w:t>
      </w:r>
      <w:r w:rsidR="00ED00C3" w:rsidRPr="009B2CA6">
        <w:rPr>
          <w:rFonts w:ascii="Verdana" w:hAnsi="Verdana" w:cs="Times New Roman"/>
          <w:sz w:val="20"/>
          <w:szCs w:val="20"/>
        </w:rPr>
        <w:t xml:space="preserve">, </w:t>
      </w:r>
      <w:r w:rsidR="00840192" w:rsidRPr="009B2CA6">
        <w:rPr>
          <w:rFonts w:ascii="Verdana" w:hAnsi="Verdana" w:cs="Times New Roman"/>
          <w:sz w:val="20"/>
          <w:szCs w:val="20"/>
        </w:rPr>
        <w:t>esta</w:t>
      </w:r>
      <w:r w:rsidR="00EC3408" w:rsidRPr="009B2CA6">
        <w:rPr>
          <w:rFonts w:ascii="Verdana" w:hAnsi="Verdana" w:cs="Times New Roman"/>
          <w:sz w:val="20"/>
          <w:szCs w:val="20"/>
        </w:rPr>
        <w:t xml:space="preserve">s </w:t>
      </w:r>
      <w:r w:rsidR="00840192" w:rsidRPr="009B2CA6">
        <w:rPr>
          <w:rFonts w:ascii="Verdana" w:hAnsi="Verdana" w:cs="Times New Roman"/>
          <w:sz w:val="20"/>
          <w:szCs w:val="20"/>
        </w:rPr>
        <w:t>últimas</w:t>
      </w:r>
      <w:r w:rsidR="00EC3408" w:rsidRPr="009B2CA6">
        <w:rPr>
          <w:rFonts w:ascii="Verdana" w:hAnsi="Verdana" w:cs="Times New Roman"/>
          <w:sz w:val="20"/>
          <w:szCs w:val="20"/>
        </w:rPr>
        <w:t xml:space="preserve"> </w:t>
      </w:r>
      <w:r w:rsidR="002C230C" w:rsidRPr="009B2CA6">
        <w:rPr>
          <w:rFonts w:ascii="Verdana" w:hAnsi="Verdana" w:cs="Times New Roman"/>
          <w:sz w:val="20"/>
          <w:szCs w:val="20"/>
        </w:rPr>
        <w:t>en relación con el</w:t>
      </w:r>
      <w:r w:rsidR="00C60F25">
        <w:rPr>
          <w:rFonts w:ascii="Verdana" w:hAnsi="Verdana" w:cs="Times New Roman"/>
          <w:sz w:val="20"/>
          <w:szCs w:val="20"/>
        </w:rPr>
        <w:t xml:space="preserve"> arbitraje de inversiones,</w:t>
      </w:r>
      <w:r w:rsidR="00840192" w:rsidRPr="009B2CA6">
        <w:rPr>
          <w:rFonts w:ascii="Verdana" w:hAnsi="Verdana" w:cs="Times New Roman"/>
          <w:sz w:val="20"/>
          <w:szCs w:val="20"/>
        </w:rPr>
        <w:t xml:space="preserve"> teniendo en cuenta que la mayoría de las controversias entre in</w:t>
      </w:r>
      <w:r w:rsidR="00245038" w:rsidRPr="009B2CA6">
        <w:rPr>
          <w:rFonts w:ascii="Verdana" w:hAnsi="Verdana" w:cs="Times New Roman"/>
          <w:sz w:val="20"/>
          <w:szCs w:val="20"/>
        </w:rPr>
        <w:t>versores y E</w:t>
      </w:r>
      <w:r w:rsidR="00840192" w:rsidRPr="009B2CA6">
        <w:rPr>
          <w:rFonts w:ascii="Verdana" w:hAnsi="Verdana" w:cs="Times New Roman"/>
          <w:sz w:val="20"/>
          <w:szCs w:val="20"/>
        </w:rPr>
        <w:t xml:space="preserve">stados son </w:t>
      </w:r>
      <w:r w:rsidR="00590155" w:rsidRPr="009B2CA6">
        <w:rPr>
          <w:rFonts w:ascii="Verdana" w:hAnsi="Verdana" w:cs="Times New Roman"/>
          <w:sz w:val="20"/>
          <w:szCs w:val="20"/>
        </w:rPr>
        <w:t>administradas por los reglamentos de ambas instituciones</w:t>
      </w:r>
      <w:r w:rsidR="00840192" w:rsidRPr="009B2CA6">
        <w:rPr>
          <w:rFonts w:ascii="Verdana" w:hAnsi="Verdana" w:cs="Times New Roman"/>
          <w:sz w:val="20"/>
          <w:szCs w:val="20"/>
        </w:rPr>
        <w:t>.</w:t>
      </w:r>
      <w:r w:rsidR="00C50BD6" w:rsidRPr="009B2CA6">
        <w:rPr>
          <w:rFonts w:ascii="Verdana" w:hAnsi="Verdana" w:cs="Times New Roman"/>
          <w:sz w:val="20"/>
          <w:szCs w:val="20"/>
        </w:rPr>
        <w:t xml:space="preserve"> Además, </w:t>
      </w:r>
      <w:r w:rsidR="009D1535" w:rsidRPr="009B2CA6">
        <w:rPr>
          <w:rFonts w:ascii="Verdana" w:hAnsi="Verdana" w:cs="Times New Roman"/>
          <w:sz w:val="20"/>
          <w:szCs w:val="20"/>
        </w:rPr>
        <w:t xml:space="preserve">cuando de transparencia en las reglas arbitrales se trata, resulta inadmisible no </w:t>
      </w:r>
      <w:r w:rsidR="00590155" w:rsidRPr="009B2CA6">
        <w:rPr>
          <w:rFonts w:ascii="Verdana" w:hAnsi="Verdana" w:cs="Times New Roman"/>
          <w:sz w:val="20"/>
          <w:szCs w:val="20"/>
        </w:rPr>
        <w:t>adentrarnos</w:t>
      </w:r>
      <w:r w:rsidR="009D1535" w:rsidRPr="009B2CA6">
        <w:rPr>
          <w:rFonts w:ascii="Verdana" w:hAnsi="Verdana" w:cs="Times New Roman"/>
          <w:sz w:val="20"/>
          <w:szCs w:val="20"/>
        </w:rPr>
        <w:t xml:space="preserve"> en el </w:t>
      </w:r>
      <w:r w:rsidR="00246815" w:rsidRPr="009B2CA6">
        <w:rPr>
          <w:rFonts w:ascii="Verdana" w:hAnsi="Verdana" w:cs="Times New Roman"/>
          <w:sz w:val="20"/>
          <w:szCs w:val="20"/>
        </w:rPr>
        <w:t>estudio</w:t>
      </w:r>
      <w:r w:rsidR="00C50BD6" w:rsidRPr="009B2CA6">
        <w:rPr>
          <w:rFonts w:ascii="Verdana" w:hAnsi="Verdana" w:cs="Times New Roman"/>
          <w:sz w:val="20"/>
          <w:szCs w:val="20"/>
        </w:rPr>
        <w:t xml:space="preserve"> de las normas sobre transparencia en el arbitraje de inversiones, </w:t>
      </w:r>
      <w:r w:rsidR="00D126DF" w:rsidRPr="009B2CA6">
        <w:rPr>
          <w:rFonts w:ascii="Verdana" w:hAnsi="Verdana" w:cs="Times New Roman"/>
          <w:sz w:val="20"/>
          <w:szCs w:val="20"/>
        </w:rPr>
        <w:t xml:space="preserve">e incluso, </w:t>
      </w:r>
      <w:r w:rsidR="00C50BD6" w:rsidRPr="009B2CA6">
        <w:rPr>
          <w:rFonts w:ascii="Verdana" w:hAnsi="Verdana" w:cs="Times New Roman"/>
          <w:sz w:val="20"/>
          <w:szCs w:val="20"/>
        </w:rPr>
        <w:t>se hace im</w:t>
      </w:r>
      <w:r w:rsidR="00246815" w:rsidRPr="009B2CA6">
        <w:rPr>
          <w:rFonts w:ascii="Verdana" w:hAnsi="Verdana" w:cs="Times New Roman"/>
          <w:sz w:val="20"/>
          <w:szCs w:val="20"/>
        </w:rPr>
        <w:t xml:space="preserve">prescindible </w:t>
      </w:r>
      <w:r w:rsidR="00C60F25">
        <w:rPr>
          <w:rFonts w:ascii="Verdana" w:hAnsi="Verdana" w:cs="Times New Roman"/>
          <w:sz w:val="20"/>
          <w:szCs w:val="20"/>
        </w:rPr>
        <w:t xml:space="preserve">también </w:t>
      </w:r>
      <w:r w:rsidR="00246815" w:rsidRPr="009B2CA6">
        <w:rPr>
          <w:rFonts w:ascii="Verdana" w:hAnsi="Verdana" w:cs="Times New Roman"/>
          <w:sz w:val="20"/>
          <w:szCs w:val="20"/>
        </w:rPr>
        <w:t xml:space="preserve">el estudio de </w:t>
      </w:r>
      <w:r w:rsidR="00441024" w:rsidRPr="009B2CA6">
        <w:rPr>
          <w:rFonts w:ascii="Verdana" w:hAnsi="Verdana" w:cs="Times New Roman"/>
          <w:sz w:val="20"/>
          <w:szCs w:val="20"/>
        </w:rPr>
        <w:t xml:space="preserve">las </w:t>
      </w:r>
      <w:r w:rsidR="00246815" w:rsidRPr="009B2CA6">
        <w:rPr>
          <w:rFonts w:ascii="Verdana" w:hAnsi="Verdana" w:cs="Times New Roman"/>
          <w:sz w:val="20"/>
          <w:szCs w:val="20"/>
        </w:rPr>
        <w:t>propia Con</w:t>
      </w:r>
      <w:bookmarkStart w:id="10" w:name="_Toc536741913"/>
      <w:r w:rsidR="00D126DF" w:rsidRPr="009B2CA6">
        <w:rPr>
          <w:rFonts w:ascii="Verdana" w:hAnsi="Verdana" w:cs="Times New Roman"/>
          <w:sz w:val="20"/>
          <w:szCs w:val="20"/>
        </w:rPr>
        <w:t xml:space="preserve">vención </w:t>
      </w:r>
      <w:r w:rsidR="00C60F25">
        <w:rPr>
          <w:rFonts w:ascii="Verdana" w:hAnsi="Verdana" w:cs="Times New Roman"/>
          <w:sz w:val="20"/>
          <w:szCs w:val="20"/>
        </w:rPr>
        <w:t xml:space="preserve">sobre la transparencia de la CNUDMI o Convención de </w:t>
      </w:r>
      <w:r w:rsidR="00D126DF" w:rsidRPr="009B2CA6">
        <w:rPr>
          <w:rFonts w:ascii="Verdana" w:hAnsi="Verdana" w:cs="Times New Roman"/>
          <w:sz w:val="20"/>
          <w:szCs w:val="20"/>
        </w:rPr>
        <w:t>Mauricio</w:t>
      </w:r>
      <w:r w:rsidR="00C60F25">
        <w:rPr>
          <w:rFonts w:ascii="Verdana" w:hAnsi="Verdana" w:cs="Times New Roman"/>
          <w:sz w:val="20"/>
          <w:szCs w:val="20"/>
        </w:rPr>
        <w:t>, como comúnmente se le conoce</w:t>
      </w:r>
      <w:r w:rsidR="00D126DF" w:rsidRPr="009B2CA6">
        <w:rPr>
          <w:rFonts w:ascii="Verdana" w:hAnsi="Verdana" w:cs="Times New Roman"/>
          <w:sz w:val="20"/>
          <w:szCs w:val="20"/>
        </w:rPr>
        <w:t>. Cuestiones éstas que constituyen el objeto del presente trabaj</w:t>
      </w:r>
      <w:r w:rsidR="00DA56D5">
        <w:rPr>
          <w:rFonts w:ascii="Verdana" w:hAnsi="Verdana" w:cs="Times New Roman"/>
          <w:sz w:val="20"/>
          <w:szCs w:val="20"/>
        </w:rPr>
        <w:t>o y que analizamos seguidamente</w:t>
      </w:r>
      <w:r w:rsidR="00D126DF" w:rsidRPr="009B2CA6">
        <w:rPr>
          <w:rFonts w:ascii="Verdana" w:hAnsi="Verdana" w:cs="Times New Roman"/>
          <w:sz w:val="20"/>
          <w:szCs w:val="20"/>
        </w:rPr>
        <w:t xml:space="preserve">. </w:t>
      </w:r>
    </w:p>
    <w:p w:rsidR="00D126DF" w:rsidRDefault="00D126DF" w:rsidP="006D3AD5">
      <w:pPr>
        <w:pStyle w:val="Contenidodelatabla"/>
        <w:spacing w:line="240" w:lineRule="auto"/>
        <w:ind w:firstLine="0"/>
        <w:rPr>
          <w:rFonts w:ascii="Times New Roman" w:hAnsi="Times New Roman" w:cs="Times New Roman"/>
          <w:sz w:val="24"/>
          <w:szCs w:val="24"/>
        </w:rPr>
      </w:pPr>
    </w:p>
    <w:p w:rsidR="00DC7AD9" w:rsidRPr="009B2CA6" w:rsidRDefault="00E0258A" w:rsidP="006D3AD5">
      <w:pPr>
        <w:pStyle w:val="Contenidodelatabla"/>
        <w:spacing w:line="240" w:lineRule="auto"/>
        <w:ind w:firstLine="0"/>
        <w:outlineLvl w:val="2"/>
        <w:rPr>
          <w:rFonts w:ascii="Verdana" w:hAnsi="Verdana" w:cs="Times New Roman"/>
          <w:b/>
          <w:sz w:val="20"/>
          <w:szCs w:val="20"/>
        </w:rPr>
      </w:pPr>
      <w:bookmarkStart w:id="11" w:name="_Toc1224435"/>
      <w:r w:rsidRPr="009B2CA6">
        <w:rPr>
          <w:rFonts w:ascii="Verdana" w:hAnsi="Verdana" w:cs="Times New Roman"/>
          <w:b/>
          <w:sz w:val="20"/>
          <w:szCs w:val="20"/>
        </w:rPr>
        <w:t>2</w:t>
      </w:r>
      <w:r w:rsidR="00F25B6B" w:rsidRPr="009B2CA6">
        <w:rPr>
          <w:rFonts w:ascii="Verdana" w:hAnsi="Verdana" w:cs="Times New Roman"/>
          <w:b/>
          <w:sz w:val="20"/>
          <w:szCs w:val="20"/>
        </w:rPr>
        <w:t>.</w:t>
      </w:r>
      <w:r w:rsidR="009A70BA" w:rsidRPr="009B2CA6">
        <w:rPr>
          <w:rFonts w:ascii="Verdana" w:hAnsi="Verdana" w:cs="Times New Roman"/>
          <w:b/>
          <w:sz w:val="20"/>
          <w:szCs w:val="20"/>
        </w:rPr>
        <w:t xml:space="preserve"> La transparencia en las r</w:t>
      </w:r>
      <w:r w:rsidR="00DC7AD9" w:rsidRPr="009B2CA6">
        <w:rPr>
          <w:rFonts w:ascii="Verdana" w:hAnsi="Verdana" w:cs="Times New Roman"/>
          <w:b/>
          <w:sz w:val="20"/>
          <w:szCs w:val="20"/>
        </w:rPr>
        <w:t>eglas de arbitraje de la CCI.</w:t>
      </w:r>
      <w:bookmarkEnd w:id="10"/>
      <w:bookmarkEnd w:id="11"/>
    </w:p>
    <w:p w:rsidR="00754A61" w:rsidRPr="009B2CA6" w:rsidRDefault="004A1FED"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En el</w:t>
      </w:r>
      <w:r w:rsidR="001529AE" w:rsidRPr="009B2CA6">
        <w:rPr>
          <w:rFonts w:ascii="Verdana" w:hAnsi="Verdana" w:cs="Times New Roman"/>
          <w:sz w:val="20"/>
          <w:szCs w:val="20"/>
        </w:rPr>
        <w:t xml:space="preserve"> Reglamento de Arbitraje de la CCI del 2012, modificado </w:t>
      </w:r>
      <w:r w:rsidR="00B52AF3" w:rsidRPr="009B2CA6">
        <w:rPr>
          <w:rFonts w:ascii="Verdana" w:hAnsi="Verdana" w:cs="Times New Roman"/>
          <w:sz w:val="20"/>
          <w:szCs w:val="20"/>
        </w:rPr>
        <w:t xml:space="preserve">y vigente a partir del 1 de marzo </w:t>
      </w:r>
      <w:r w:rsidR="00441024" w:rsidRPr="009B2CA6">
        <w:rPr>
          <w:rFonts w:ascii="Verdana" w:hAnsi="Verdana" w:cs="Times New Roman"/>
          <w:sz w:val="20"/>
          <w:szCs w:val="20"/>
        </w:rPr>
        <w:t>de 2017, la</w:t>
      </w:r>
      <w:r w:rsidR="005D6D6B" w:rsidRPr="009B2CA6">
        <w:rPr>
          <w:rFonts w:ascii="Verdana" w:hAnsi="Verdana" w:cs="Times New Roman"/>
          <w:sz w:val="20"/>
          <w:szCs w:val="20"/>
        </w:rPr>
        <w:t>s normas sobre la</w:t>
      </w:r>
      <w:r w:rsidR="00441024" w:rsidRPr="009B2CA6">
        <w:rPr>
          <w:rFonts w:ascii="Verdana" w:hAnsi="Verdana" w:cs="Times New Roman"/>
          <w:sz w:val="20"/>
          <w:szCs w:val="20"/>
        </w:rPr>
        <w:t xml:space="preserve"> transparencia </w:t>
      </w:r>
      <w:r w:rsidR="004B2212" w:rsidRPr="009B2CA6">
        <w:rPr>
          <w:rFonts w:ascii="Verdana" w:hAnsi="Verdana" w:cs="Times New Roman"/>
          <w:sz w:val="20"/>
          <w:szCs w:val="20"/>
        </w:rPr>
        <w:t>tiene</w:t>
      </w:r>
      <w:r w:rsidR="005D6D6B" w:rsidRPr="009B2CA6">
        <w:rPr>
          <w:rFonts w:ascii="Verdana" w:hAnsi="Verdana" w:cs="Times New Roman"/>
          <w:sz w:val="20"/>
          <w:szCs w:val="20"/>
        </w:rPr>
        <w:t>n</w:t>
      </w:r>
      <w:r w:rsidR="004B2212" w:rsidRPr="009B2CA6">
        <w:rPr>
          <w:rFonts w:ascii="Verdana" w:hAnsi="Verdana" w:cs="Times New Roman"/>
          <w:sz w:val="20"/>
          <w:szCs w:val="20"/>
        </w:rPr>
        <w:t xml:space="preserve"> escasa acogida. </w:t>
      </w:r>
      <w:r w:rsidRPr="009B2CA6">
        <w:rPr>
          <w:rFonts w:ascii="Verdana" w:hAnsi="Verdana" w:cs="Times New Roman"/>
          <w:sz w:val="20"/>
          <w:szCs w:val="20"/>
        </w:rPr>
        <w:t>E</w:t>
      </w:r>
      <w:r w:rsidR="00B52AF3" w:rsidRPr="009B2CA6">
        <w:rPr>
          <w:rFonts w:ascii="Verdana" w:hAnsi="Verdana" w:cs="Times New Roman"/>
          <w:sz w:val="20"/>
          <w:szCs w:val="20"/>
        </w:rPr>
        <w:t>l propio P</w:t>
      </w:r>
      <w:r w:rsidR="001529AE" w:rsidRPr="009B2CA6">
        <w:rPr>
          <w:rFonts w:ascii="Verdana" w:hAnsi="Verdana" w:cs="Times New Roman"/>
          <w:sz w:val="20"/>
          <w:szCs w:val="20"/>
        </w:rPr>
        <w:t>refacio del Reglamento afirma que los arbitrajes de la CCI</w:t>
      </w:r>
      <w:r w:rsidRPr="009B2CA6">
        <w:rPr>
          <w:rFonts w:ascii="Verdana" w:hAnsi="Verdana" w:cs="Times New Roman"/>
          <w:sz w:val="20"/>
          <w:szCs w:val="20"/>
        </w:rPr>
        <w:t>,</w:t>
      </w:r>
      <w:r w:rsidR="001529AE" w:rsidRPr="009B2CA6">
        <w:rPr>
          <w:rFonts w:ascii="Verdana" w:hAnsi="Verdana" w:cs="Times New Roman"/>
          <w:sz w:val="20"/>
          <w:szCs w:val="20"/>
        </w:rPr>
        <w:t xml:space="preserve"> con la implementación de las nuevas modificaciones</w:t>
      </w:r>
      <w:r w:rsidR="00ED1179" w:rsidRPr="009B2CA6">
        <w:rPr>
          <w:rFonts w:ascii="Verdana" w:hAnsi="Verdana" w:cs="Times New Roman"/>
          <w:sz w:val="20"/>
          <w:szCs w:val="20"/>
        </w:rPr>
        <w:t>,</w:t>
      </w:r>
      <w:r w:rsidR="001529AE" w:rsidRPr="009B2CA6">
        <w:rPr>
          <w:rFonts w:ascii="Verdana" w:hAnsi="Verdana" w:cs="Times New Roman"/>
          <w:sz w:val="20"/>
          <w:szCs w:val="20"/>
        </w:rPr>
        <w:t xml:space="preserve"> serán más transparentes, fundamentando dicha afirmación </w:t>
      </w:r>
      <w:r w:rsidR="00CD1003" w:rsidRPr="009B2CA6">
        <w:rPr>
          <w:rFonts w:ascii="Verdana" w:hAnsi="Verdana" w:cs="Times New Roman"/>
          <w:sz w:val="20"/>
          <w:szCs w:val="20"/>
        </w:rPr>
        <w:t>en</w:t>
      </w:r>
      <w:r w:rsidR="001529AE" w:rsidRPr="009B2CA6">
        <w:rPr>
          <w:rFonts w:ascii="Verdana" w:hAnsi="Verdana" w:cs="Times New Roman"/>
          <w:sz w:val="20"/>
          <w:szCs w:val="20"/>
        </w:rPr>
        <w:t xml:space="preserve"> que la Corte podrá informar un número más amplio de decisiones</w:t>
      </w:r>
      <w:r w:rsidR="00CD1003" w:rsidRPr="009B2CA6">
        <w:rPr>
          <w:rFonts w:ascii="Verdana" w:hAnsi="Verdana" w:cs="Times New Roman"/>
          <w:sz w:val="20"/>
          <w:szCs w:val="20"/>
        </w:rPr>
        <w:t>,</w:t>
      </w:r>
      <w:r w:rsidR="001529AE" w:rsidRPr="009B2CA6">
        <w:rPr>
          <w:rFonts w:ascii="Verdana" w:hAnsi="Verdana" w:cs="Times New Roman"/>
          <w:sz w:val="20"/>
          <w:szCs w:val="20"/>
        </w:rPr>
        <w:t xml:space="preserve"> siempre que una de </w:t>
      </w:r>
      <w:r w:rsidR="001529AE" w:rsidRPr="009B2CA6">
        <w:rPr>
          <w:rFonts w:ascii="Verdana" w:hAnsi="Verdana" w:cs="Times New Roman"/>
          <w:sz w:val="20"/>
          <w:szCs w:val="20"/>
        </w:rPr>
        <w:lastRenderedPageBreak/>
        <w:t>las partes así lo solicite</w:t>
      </w:r>
      <w:r w:rsidR="001529AE" w:rsidRPr="009B2CA6">
        <w:rPr>
          <w:rStyle w:val="Refdenotaalpie"/>
          <w:rFonts w:ascii="Verdana" w:hAnsi="Verdana" w:cs="Times New Roman"/>
          <w:sz w:val="20"/>
          <w:szCs w:val="20"/>
        </w:rPr>
        <w:footnoteReference w:id="5"/>
      </w:r>
      <w:r w:rsidRPr="009B2CA6">
        <w:rPr>
          <w:rFonts w:ascii="Verdana" w:hAnsi="Verdana" w:cs="Times New Roman"/>
          <w:sz w:val="20"/>
          <w:szCs w:val="20"/>
        </w:rPr>
        <w:t xml:space="preserve">. Sin embargo, </w:t>
      </w:r>
      <w:r w:rsidR="00CD1003" w:rsidRPr="009B2CA6">
        <w:rPr>
          <w:rFonts w:ascii="Verdana" w:hAnsi="Verdana" w:cs="Times New Roman"/>
          <w:sz w:val="20"/>
          <w:szCs w:val="20"/>
        </w:rPr>
        <w:t>creemos</w:t>
      </w:r>
      <w:r w:rsidR="00B52AF3" w:rsidRPr="009B2CA6">
        <w:rPr>
          <w:rFonts w:ascii="Verdana" w:hAnsi="Verdana" w:cs="Times New Roman"/>
          <w:sz w:val="20"/>
          <w:szCs w:val="20"/>
        </w:rPr>
        <w:t xml:space="preserve"> que </w:t>
      </w:r>
      <w:r w:rsidRPr="009B2CA6">
        <w:rPr>
          <w:rFonts w:ascii="Verdana" w:hAnsi="Verdana" w:cs="Times New Roman"/>
          <w:sz w:val="20"/>
          <w:szCs w:val="20"/>
        </w:rPr>
        <w:t>dicha afirmación</w:t>
      </w:r>
      <w:r w:rsidR="001529AE" w:rsidRPr="009B2CA6">
        <w:rPr>
          <w:rFonts w:ascii="Verdana" w:hAnsi="Verdana" w:cs="Times New Roman"/>
          <w:sz w:val="20"/>
          <w:szCs w:val="20"/>
        </w:rPr>
        <w:t xml:space="preserve"> no </w:t>
      </w:r>
      <w:r w:rsidR="000955E3" w:rsidRPr="009B2CA6">
        <w:rPr>
          <w:rFonts w:ascii="Verdana" w:hAnsi="Verdana" w:cs="Times New Roman"/>
          <w:sz w:val="20"/>
          <w:szCs w:val="20"/>
        </w:rPr>
        <w:t>e</w:t>
      </w:r>
      <w:r w:rsidR="001529AE" w:rsidRPr="009B2CA6">
        <w:rPr>
          <w:rFonts w:ascii="Verdana" w:hAnsi="Verdana" w:cs="Times New Roman"/>
          <w:sz w:val="20"/>
          <w:szCs w:val="20"/>
        </w:rPr>
        <w:t xml:space="preserve">s del todo </w:t>
      </w:r>
      <w:r w:rsidR="00FF1949" w:rsidRPr="009B2CA6">
        <w:rPr>
          <w:rFonts w:ascii="Verdana" w:hAnsi="Verdana" w:cs="Times New Roman"/>
          <w:sz w:val="20"/>
          <w:szCs w:val="20"/>
        </w:rPr>
        <w:t>efectiva</w:t>
      </w:r>
      <w:r w:rsidR="000955E3" w:rsidRPr="009B2CA6">
        <w:rPr>
          <w:rFonts w:ascii="Verdana" w:hAnsi="Verdana" w:cs="Times New Roman"/>
          <w:sz w:val="20"/>
          <w:szCs w:val="20"/>
        </w:rPr>
        <w:t>, y</w:t>
      </w:r>
      <w:r w:rsidR="00933A55" w:rsidRPr="009B2CA6">
        <w:rPr>
          <w:rFonts w:ascii="Verdana" w:hAnsi="Verdana" w:cs="Times New Roman"/>
          <w:sz w:val="20"/>
          <w:szCs w:val="20"/>
        </w:rPr>
        <w:t xml:space="preserve">a que la Corte procura hacer </w:t>
      </w:r>
      <w:r w:rsidRPr="009B2CA6">
        <w:rPr>
          <w:rFonts w:ascii="Verdana" w:hAnsi="Verdana" w:cs="Times New Roman"/>
          <w:sz w:val="20"/>
          <w:szCs w:val="20"/>
        </w:rPr>
        <w:t xml:space="preserve">más transparente sus arbitrajes </w:t>
      </w:r>
      <w:r w:rsidR="00933A55" w:rsidRPr="009B2CA6">
        <w:rPr>
          <w:rFonts w:ascii="Verdana" w:hAnsi="Verdana" w:cs="Times New Roman"/>
          <w:sz w:val="20"/>
          <w:szCs w:val="20"/>
        </w:rPr>
        <w:t xml:space="preserve">siempre que no se vean comprometidas las expectativas de confidencialidad, </w:t>
      </w:r>
      <w:r w:rsidRPr="009B2CA6">
        <w:rPr>
          <w:rFonts w:ascii="Verdana" w:hAnsi="Verdana" w:cs="Times New Roman"/>
          <w:sz w:val="20"/>
          <w:szCs w:val="20"/>
        </w:rPr>
        <w:t xml:space="preserve">teniendo en cuenta la importancia que reviste para las partes durante todo el procedimiento. Por lo que, bajo la protección de la confidencialidad, </w:t>
      </w:r>
      <w:r w:rsidR="00933A55" w:rsidRPr="009B2CA6">
        <w:rPr>
          <w:rFonts w:ascii="Verdana" w:hAnsi="Verdana" w:cs="Times New Roman"/>
          <w:sz w:val="20"/>
          <w:szCs w:val="20"/>
        </w:rPr>
        <w:t>pueden existir procedimientos arbitrales con una fuert</w:t>
      </w:r>
      <w:r w:rsidRPr="009B2CA6">
        <w:rPr>
          <w:rFonts w:ascii="Verdana" w:hAnsi="Verdana" w:cs="Times New Roman"/>
          <w:sz w:val="20"/>
          <w:szCs w:val="20"/>
        </w:rPr>
        <w:t xml:space="preserve">e presencia de interés público carentes de transparencia. </w:t>
      </w:r>
    </w:p>
    <w:p w:rsidR="00933A55" w:rsidRDefault="00933A55" w:rsidP="006D3AD5">
      <w:pPr>
        <w:pStyle w:val="Contenidodelatabla"/>
        <w:spacing w:line="240" w:lineRule="auto"/>
        <w:rPr>
          <w:rFonts w:ascii="Times New Roman" w:hAnsi="Times New Roman" w:cs="Times New Roman"/>
          <w:sz w:val="24"/>
          <w:szCs w:val="24"/>
        </w:rPr>
      </w:pPr>
      <w:r w:rsidRPr="009B2CA6">
        <w:rPr>
          <w:rFonts w:ascii="Verdana" w:hAnsi="Verdana" w:cs="Times New Roman"/>
          <w:sz w:val="20"/>
          <w:szCs w:val="20"/>
        </w:rPr>
        <w:t>En consonancia</w:t>
      </w:r>
      <w:r w:rsidR="00ED1179" w:rsidRPr="009B2CA6">
        <w:rPr>
          <w:rFonts w:ascii="Verdana" w:hAnsi="Verdana" w:cs="Times New Roman"/>
          <w:sz w:val="20"/>
          <w:szCs w:val="20"/>
        </w:rPr>
        <w:t>,</w:t>
      </w:r>
      <w:r w:rsidRPr="009B2CA6">
        <w:rPr>
          <w:rFonts w:ascii="Verdana" w:hAnsi="Verdana" w:cs="Times New Roman"/>
          <w:sz w:val="20"/>
          <w:szCs w:val="20"/>
        </w:rPr>
        <w:t xml:space="preserve"> con esta política </w:t>
      </w:r>
      <w:r w:rsidR="00ED1179" w:rsidRPr="009B2CA6">
        <w:rPr>
          <w:rFonts w:ascii="Verdana" w:hAnsi="Verdana" w:cs="Times New Roman"/>
          <w:sz w:val="20"/>
          <w:szCs w:val="20"/>
        </w:rPr>
        <w:t>(</w:t>
      </w:r>
      <w:r w:rsidRPr="009B2CA6">
        <w:rPr>
          <w:rFonts w:ascii="Verdana" w:hAnsi="Verdana" w:cs="Times New Roman"/>
          <w:sz w:val="20"/>
          <w:szCs w:val="20"/>
        </w:rPr>
        <w:t>y salvo que las partes acuerden lo contrario</w:t>
      </w:r>
      <w:r w:rsidR="00ED1179" w:rsidRPr="009B2CA6">
        <w:rPr>
          <w:rFonts w:ascii="Verdana" w:hAnsi="Verdana" w:cs="Times New Roman"/>
          <w:sz w:val="20"/>
          <w:szCs w:val="20"/>
        </w:rPr>
        <w:t>)</w:t>
      </w:r>
      <w:r w:rsidRPr="009B2CA6">
        <w:rPr>
          <w:rFonts w:ascii="Verdana" w:hAnsi="Verdana" w:cs="Times New Roman"/>
          <w:sz w:val="20"/>
          <w:szCs w:val="20"/>
        </w:rPr>
        <w:t>, la Corte publicará en el sitio web de la CCI, en relación con los arbitrajes registrados desde el 1 de enero de 2016, la siguiente información: (i) los nombres de los árbitros, (ii) su nacionalidad, (iii) su posición dentro del tribunal, (iv)</w:t>
      </w:r>
      <w:r w:rsidR="000955E3" w:rsidRPr="009B2CA6">
        <w:rPr>
          <w:rFonts w:ascii="Verdana" w:hAnsi="Verdana" w:cs="Times New Roman"/>
          <w:sz w:val="20"/>
          <w:szCs w:val="20"/>
        </w:rPr>
        <w:t xml:space="preserve"> la forma de su designación</w:t>
      </w:r>
      <w:r w:rsidRPr="009B2CA6">
        <w:rPr>
          <w:rFonts w:ascii="Verdana" w:hAnsi="Verdana" w:cs="Times New Roman"/>
          <w:sz w:val="20"/>
          <w:szCs w:val="20"/>
        </w:rPr>
        <w:t xml:space="preserve"> y (v) si el arbitraje está pendiente de resolución o cerrado. El número de referencia del arbitraje y los nombres de las partes no serán publicados</w:t>
      </w:r>
      <w:r w:rsidR="00223D37" w:rsidRPr="009B2CA6">
        <w:rPr>
          <w:rStyle w:val="Refdenotaalpie"/>
          <w:rFonts w:ascii="Verdana" w:hAnsi="Verdana" w:cs="Times New Roman"/>
          <w:sz w:val="20"/>
          <w:szCs w:val="20"/>
        </w:rPr>
        <w:footnoteReference w:id="6"/>
      </w:r>
      <w:r w:rsidRPr="009B2CA6">
        <w:rPr>
          <w:rFonts w:ascii="Verdana" w:hAnsi="Verdana" w:cs="Times New Roman"/>
          <w:sz w:val="20"/>
          <w:szCs w:val="20"/>
        </w:rPr>
        <w:t>.</w:t>
      </w:r>
      <w:r w:rsidR="00305F47" w:rsidRPr="009B2CA6">
        <w:rPr>
          <w:rFonts w:ascii="Verdana" w:hAnsi="Verdana" w:cs="Times New Roman"/>
          <w:sz w:val="20"/>
          <w:szCs w:val="20"/>
        </w:rPr>
        <w:t xml:space="preserve"> Sin embargo, consideramos que </w:t>
      </w:r>
      <w:r w:rsidR="002B4B4C" w:rsidRPr="009B2CA6">
        <w:rPr>
          <w:rFonts w:ascii="Verdana" w:hAnsi="Verdana" w:cs="Times New Roman"/>
          <w:sz w:val="20"/>
          <w:szCs w:val="20"/>
        </w:rPr>
        <w:t xml:space="preserve">dicha </w:t>
      </w:r>
      <w:r w:rsidR="00305F47" w:rsidRPr="009B2CA6">
        <w:rPr>
          <w:rFonts w:ascii="Verdana" w:hAnsi="Verdana" w:cs="Times New Roman"/>
          <w:sz w:val="20"/>
          <w:szCs w:val="20"/>
        </w:rPr>
        <w:t xml:space="preserve">información </w:t>
      </w:r>
      <w:r w:rsidR="00ED1179" w:rsidRPr="009B2CA6">
        <w:rPr>
          <w:rFonts w:ascii="Verdana" w:hAnsi="Verdana" w:cs="Times New Roman"/>
          <w:sz w:val="20"/>
          <w:szCs w:val="20"/>
        </w:rPr>
        <w:t>só</w:t>
      </w:r>
      <w:r w:rsidR="00FF1949" w:rsidRPr="009B2CA6">
        <w:rPr>
          <w:rFonts w:ascii="Verdana" w:hAnsi="Verdana" w:cs="Times New Roman"/>
          <w:sz w:val="20"/>
          <w:szCs w:val="20"/>
        </w:rPr>
        <w:t>lo en apariencia supone un incremento efectivo de la transparencia</w:t>
      </w:r>
      <w:r w:rsidR="00305F47" w:rsidRPr="009B2CA6">
        <w:rPr>
          <w:rFonts w:ascii="Verdana" w:hAnsi="Verdana" w:cs="Times New Roman"/>
          <w:sz w:val="20"/>
          <w:szCs w:val="20"/>
        </w:rPr>
        <w:t xml:space="preserve">. </w:t>
      </w:r>
      <w:r w:rsidR="00FF1949" w:rsidRPr="009B2CA6">
        <w:rPr>
          <w:rFonts w:ascii="Verdana" w:hAnsi="Verdana" w:cs="Times New Roman"/>
          <w:sz w:val="20"/>
          <w:szCs w:val="20"/>
        </w:rPr>
        <w:t>En efecto, poco nos puede</w:t>
      </w:r>
      <w:r w:rsidR="00305F47" w:rsidRPr="009B2CA6">
        <w:rPr>
          <w:rFonts w:ascii="Verdana" w:hAnsi="Verdana" w:cs="Times New Roman"/>
          <w:sz w:val="20"/>
          <w:szCs w:val="20"/>
        </w:rPr>
        <w:t xml:space="preserve"> ilustrar</w:t>
      </w:r>
      <w:r w:rsidR="00FF1949" w:rsidRPr="009B2CA6">
        <w:rPr>
          <w:rFonts w:ascii="Verdana" w:hAnsi="Verdana" w:cs="Times New Roman"/>
          <w:sz w:val="20"/>
          <w:szCs w:val="20"/>
        </w:rPr>
        <w:t xml:space="preserve"> dicha información en los casos</w:t>
      </w:r>
      <w:r w:rsidR="00305F47" w:rsidRPr="009B2CA6">
        <w:rPr>
          <w:rFonts w:ascii="Verdana" w:hAnsi="Verdana" w:cs="Times New Roman"/>
          <w:sz w:val="20"/>
          <w:szCs w:val="20"/>
        </w:rPr>
        <w:t xml:space="preserve"> en los qu</w:t>
      </w:r>
      <w:r w:rsidR="00FF1949" w:rsidRPr="009B2CA6">
        <w:rPr>
          <w:rFonts w:ascii="Verdana" w:hAnsi="Verdana" w:cs="Times New Roman"/>
          <w:sz w:val="20"/>
          <w:szCs w:val="20"/>
        </w:rPr>
        <w:t>e el Estado o un ente público sea</w:t>
      </w:r>
      <w:r w:rsidR="000A1BB1" w:rsidRPr="009B2CA6">
        <w:rPr>
          <w:rFonts w:ascii="Verdana" w:hAnsi="Verdana" w:cs="Times New Roman"/>
          <w:sz w:val="20"/>
          <w:szCs w:val="20"/>
        </w:rPr>
        <w:t>n</w:t>
      </w:r>
      <w:r w:rsidR="00305F47" w:rsidRPr="009B2CA6">
        <w:rPr>
          <w:rFonts w:ascii="Verdana" w:hAnsi="Verdana" w:cs="Times New Roman"/>
          <w:sz w:val="20"/>
          <w:szCs w:val="20"/>
        </w:rPr>
        <w:t xml:space="preserve"> parte </w:t>
      </w:r>
      <w:r w:rsidR="00FF1949" w:rsidRPr="009B2CA6">
        <w:rPr>
          <w:rFonts w:ascii="Verdana" w:hAnsi="Verdana" w:cs="Times New Roman"/>
          <w:sz w:val="20"/>
          <w:szCs w:val="20"/>
        </w:rPr>
        <w:t>en el</w:t>
      </w:r>
      <w:r w:rsidR="00305F47" w:rsidRPr="009B2CA6">
        <w:rPr>
          <w:rFonts w:ascii="Verdana" w:hAnsi="Verdana" w:cs="Times New Roman"/>
          <w:sz w:val="20"/>
          <w:szCs w:val="20"/>
        </w:rPr>
        <w:t xml:space="preserve"> arbitraje, </w:t>
      </w:r>
      <w:r w:rsidR="00223D37" w:rsidRPr="009B2CA6">
        <w:rPr>
          <w:rFonts w:ascii="Verdana" w:hAnsi="Verdana" w:cs="Times New Roman"/>
          <w:sz w:val="20"/>
          <w:szCs w:val="20"/>
        </w:rPr>
        <w:t xml:space="preserve">siendo éstos procedimientos a </w:t>
      </w:r>
      <w:r w:rsidR="00305F47" w:rsidRPr="009B2CA6">
        <w:rPr>
          <w:rFonts w:ascii="Verdana" w:hAnsi="Verdana" w:cs="Times New Roman"/>
          <w:sz w:val="20"/>
          <w:szCs w:val="20"/>
        </w:rPr>
        <w:t>los que se le exige una mayor transparencia</w:t>
      </w:r>
      <w:r w:rsidR="00223D37" w:rsidRPr="009B2CA6">
        <w:rPr>
          <w:rFonts w:ascii="Verdana" w:hAnsi="Verdana" w:cs="Times New Roman"/>
          <w:sz w:val="20"/>
          <w:szCs w:val="20"/>
        </w:rPr>
        <w:t>, tanto</w:t>
      </w:r>
      <w:r w:rsidR="00305F47" w:rsidRPr="009B2CA6">
        <w:rPr>
          <w:rFonts w:ascii="Verdana" w:hAnsi="Verdana" w:cs="Times New Roman"/>
          <w:sz w:val="20"/>
          <w:szCs w:val="20"/>
        </w:rPr>
        <w:t xml:space="preserve"> por terceros</w:t>
      </w:r>
      <w:r w:rsidR="00223D37" w:rsidRPr="009B2CA6">
        <w:rPr>
          <w:rFonts w:ascii="Verdana" w:hAnsi="Verdana" w:cs="Times New Roman"/>
          <w:sz w:val="20"/>
          <w:szCs w:val="20"/>
        </w:rPr>
        <w:t>, como por</w:t>
      </w:r>
      <w:r w:rsidR="00305F47" w:rsidRPr="009B2CA6">
        <w:rPr>
          <w:rFonts w:ascii="Verdana" w:hAnsi="Verdana" w:cs="Times New Roman"/>
          <w:sz w:val="20"/>
          <w:szCs w:val="20"/>
        </w:rPr>
        <w:t xml:space="preserve"> la propia sociedad civil respecto a sus actuaciones. </w:t>
      </w:r>
      <w:r w:rsidR="00A11615" w:rsidRPr="009B2CA6">
        <w:rPr>
          <w:rFonts w:ascii="Verdana" w:hAnsi="Verdana" w:cs="Times New Roman"/>
          <w:sz w:val="20"/>
          <w:szCs w:val="20"/>
        </w:rPr>
        <w:t>De poco</w:t>
      </w:r>
      <w:r w:rsidR="00305F47" w:rsidRPr="009B2CA6">
        <w:rPr>
          <w:rFonts w:ascii="Verdana" w:hAnsi="Verdana" w:cs="Times New Roman"/>
          <w:sz w:val="20"/>
          <w:szCs w:val="20"/>
        </w:rPr>
        <w:t xml:space="preserve"> vale conocer únicamente la información </w:t>
      </w:r>
      <w:r w:rsidR="00FF1949" w:rsidRPr="009B2CA6">
        <w:rPr>
          <w:rFonts w:ascii="Verdana" w:hAnsi="Verdana" w:cs="Times New Roman"/>
          <w:sz w:val="20"/>
          <w:szCs w:val="20"/>
        </w:rPr>
        <w:t xml:space="preserve">acerca </w:t>
      </w:r>
      <w:r w:rsidR="00305F47" w:rsidRPr="009B2CA6">
        <w:rPr>
          <w:rFonts w:ascii="Verdana" w:hAnsi="Verdana" w:cs="Times New Roman"/>
          <w:sz w:val="20"/>
          <w:szCs w:val="20"/>
        </w:rPr>
        <w:t>de los árbitros que actuarán como miembros del tribunal, cuando ni siquiera se conoce</w:t>
      </w:r>
      <w:r w:rsidR="00A11615" w:rsidRPr="009B2CA6">
        <w:rPr>
          <w:rFonts w:ascii="Verdana" w:hAnsi="Verdana" w:cs="Times New Roman"/>
          <w:sz w:val="20"/>
          <w:szCs w:val="20"/>
        </w:rPr>
        <w:t>n</w:t>
      </w:r>
      <w:r w:rsidR="00305F47" w:rsidRPr="009B2CA6">
        <w:rPr>
          <w:rFonts w:ascii="Verdana" w:hAnsi="Verdana" w:cs="Times New Roman"/>
          <w:sz w:val="20"/>
          <w:szCs w:val="20"/>
        </w:rPr>
        <w:t xml:space="preserve"> las causas u objeto de la </w:t>
      </w:r>
      <w:r w:rsidR="00ED1179" w:rsidRPr="009B2CA6">
        <w:rPr>
          <w:rFonts w:ascii="Verdana" w:hAnsi="Verdana" w:cs="Times New Roman"/>
          <w:sz w:val="20"/>
          <w:szCs w:val="20"/>
        </w:rPr>
        <w:t>l</w:t>
      </w:r>
      <w:r w:rsidR="00CD1003" w:rsidRPr="009B2CA6">
        <w:rPr>
          <w:rFonts w:ascii="Verdana" w:hAnsi="Verdana" w:cs="Times New Roman"/>
          <w:sz w:val="20"/>
          <w:szCs w:val="20"/>
        </w:rPr>
        <w:t>itis,</w:t>
      </w:r>
      <w:r w:rsidR="00305F47" w:rsidRPr="009B2CA6">
        <w:rPr>
          <w:rFonts w:ascii="Verdana" w:hAnsi="Verdana" w:cs="Times New Roman"/>
          <w:sz w:val="20"/>
          <w:szCs w:val="20"/>
        </w:rPr>
        <w:t xml:space="preserve"> cuantía </w:t>
      </w:r>
      <w:r w:rsidR="00CD1003" w:rsidRPr="009B2CA6">
        <w:rPr>
          <w:rFonts w:ascii="Verdana" w:hAnsi="Verdana" w:cs="Times New Roman"/>
          <w:sz w:val="20"/>
          <w:szCs w:val="20"/>
        </w:rPr>
        <w:t>reclamada,</w:t>
      </w:r>
      <w:r w:rsidR="00305F47" w:rsidRPr="009B2CA6">
        <w:rPr>
          <w:rFonts w:ascii="Verdana" w:hAnsi="Verdana" w:cs="Times New Roman"/>
          <w:sz w:val="20"/>
          <w:szCs w:val="20"/>
        </w:rPr>
        <w:t xml:space="preserve"> </w:t>
      </w:r>
      <w:r w:rsidR="00532CFF" w:rsidRPr="009B2CA6">
        <w:rPr>
          <w:rFonts w:ascii="Verdana" w:hAnsi="Verdana" w:cs="Times New Roman"/>
          <w:sz w:val="20"/>
          <w:szCs w:val="20"/>
        </w:rPr>
        <w:t>daños ocasionad</w:t>
      </w:r>
      <w:r w:rsidR="00CD1003" w:rsidRPr="009B2CA6">
        <w:rPr>
          <w:rFonts w:ascii="Verdana" w:hAnsi="Verdana" w:cs="Times New Roman"/>
          <w:sz w:val="20"/>
          <w:szCs w:val="20"/>
        </w:rPr>
        <w:t>os,</w:t>
      </w:r>
      <w:r w:rsidR="00305F47" w:rsidRPr="009B2CA6">
        <w:rPr>
          <w:rFonts w:ascii="Verdana" w:hAnsi="Verdana" w:cs="Times New Roman"/>
          <w:sz w:val="20"/>
          <w:szCs w:val="20"/>
        </w:rPr>
        <w:t xml:space="preserve"> </w:t>
      </w:r>
      <w:r w:rsidR="00532CFF" w:rsidRPr="009B2CA6">
        <w:rPr>
          <w:rFonts w:ascii="Verdana" w:hAnsi="Verdana" w:cs="Times New Roman"/>
          <w:sz w:val="20"/>
          <w:szCs w:val="20"/>
        </w:rPr>
        <w:t>en caso de modificación o cambio en el tribunal arbitral</w:t>
      </w:r>
      <w:r w:rsidR="00CD1003" w:rsidRPr="009B2CA6">
        <w:rPr>
          <w:rFonts w:ascii="Verdana" w:hAnsi="Verdana" w:cs="Times New Roman"/>
          <w:sz w:val="20"/>
          <w:szCs w:val="20"/>
        </w:rPr>
        <w:t>, las causas que lo haya motivado,</w:t>
      </w:r>
      <w:r w:rsidR="00532CFF" w:rsidRPr="009B2CA6">
        <w:rPr>
          <w:rFonts w:ascii="Verdana" w:hAnsi="Verdana" w:cs="Times New Roman"/>
          <w:sz w:val="20"/>
          <w:szCs w:val="20"/>
        </w:rPr>
        <w:t xml:space="preserve"> entre</w:t>
      </w:r>
      <w:r w:rsidR="00A11615" w:rsidRPr="009B2CA6">
        <w:rPr>
          <w:rFonts w:ascii="Verdana" w:hAnsi="Verdana" w:cs="Times New Roman"/>
          <w:sz w:val="20"/>
          <w:szCs w:val="20"/>
        </w:rPr>
        <w:t xml:space="preserve"> otros. Esta</w:t>
      </w:r>
      <w:r w:rsidR="002B4B4C" w:rsidRPr="009B2CA6">
        <w:rPr>
          <w:rFonts w:ascii="Verdana" w:hAnsi="Verdana" w:cs="Times New Roman"/>
          <w:sz w:val="20"/>
          <w:szCs w:val="20"/>
        </w:rPr>
        <w:t xml:space="preserve"> es</w:t>
      </w:r>
      <w:r w:rsidR="00532CFF" w:rsidRPr="009B2CA6">
        <w:rPr>
          <w:rFonts w:ascii="Verdana" w:hAnsi="Verdana" w:cs="Times New Roman"/>
          <w:sz w:val="20"/>
          <w:szCs w:val="20"/>
        </w:rPr>
        <w:t xml:space="preserve"> en realidad la</w:t>
      </w:r>
      <w:r w:rsidR="000A1BB1" w:rsidRPr="009B2CA6">
        <w:rPr>
          <w:rFonts w:ascii="Verdana" w:hAnsi="Verdana" w:cs="Times New Roman"/>
          <w:sz w:val="20"/>
          <w:szCs w:val="20"/>
        </w:rPr>
        <w:t xml:space="preserve"> información que le</w:t>
      </w:r>
      <w:r w:rsidR="00305F47" w:rsidRPr="009B2CA6">
        <w:rPr>
          <w:rFonts w:ascii="Verdana" w:hAnsi="Verdana" w:cs="Times New Roman"/>
          <w:sz w:val="20"/>
          <w:szCs w:val="20"/>
        </w:rPr>
        <w:t xml:space="preserve"> interesa conocer, tanto a terceros como al público en general, al menos, insistimos, cuando una de las partes es un ente público.</w:t>
      </w:r>
      <w:r w:rsidR="00305F47">
        <w:rPr>
          <w:rFonts w:ascii="Times New Roman" w:hAnsi="Times New Roman" w:cs="Times New Roman"/>
          <w:sz w:val="24"/>
          <w:szCs w:val="24"/>
        </w:rPr>
        <w:t xml:space="preserve"> </w:t>
      </w:r>
    </w:p>
    <w:p w:rsidR="001562C7" w:rsidRPr="009B2CA6" w:rsidRDefault="000D5D45"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Desde el punto de vista de las audiencias, el propio Reglamen</w:t>
      </w:r>
      <w:r w:rsidR="00E81C9B" w:rsidRPr="009B2CA6">
        <w:rPr>
          <w:rFonts w:ascii="Verdana" w:hAnsi="Verdana" w:cs="Times New Roman"/>
          <w:sz w:val="20"/>
          <w:szCs w:val="20"/>
        </w:rPr>
        <w:t xml:space="preserve">to </w:t>
      </w:r>
      <w:r w:rsidR="00831A92" w:rsidRPr="009B2CA6">
        <w:rPr>
          <w:rFonts w:ascii="Verdana" w:hAnsi="Verdana" w:cs="Times New Roman"/>
          <w:sz w:val="20"/>
          <w:szCs w:val="20"/>
        </w:rPr>
        <w:t>establece</w:t>
      </w:r>
      <w:r w:rsidR="00E81C9B" w:rsidRPr="009B2CA6">
        <w:rPr>
          <w:rFonts w:ascii="Verdana" w:hAnsi="Verdana" w:cs="Times New Roman"/>
          <w:sz w:val="20"/>
          <w:szCs w:val="20"/>
        </w:rPr>
        <w:t xml:space="preserve"> que</w:t>
      </w:r>
      <w:r w:rsidR="00831A92" w:rsidRPr="009B2CA6">
        <w:rPr>
          <w:rFonts w:ascii="Verdana" w:hAnsi="Verdana" w:cs="Times New Roman"/>
          <w:sz w:val="20"/>
          <w:szCs w:val="20"/>
        </w:rPr>
        <w:t xml:space="preserve">, </w:t>
      </w:r>
      <w:r w:rsidR="00E81C9B" w:rsidRPr="009B2CA6">
        <w:rPr>
          <w:rFonts w:ascii="Verdana" w:hAnsi="Verdana" w:cs="Times New Roman"/>
          <w:sz w:val="20"/>
          <w:szCs w:val="20"/>
        </w:rPr>
        <w:t>salvo autorización del</w:t>
      </w:r>
      <w:r w:rsidRPr="009B2CA6">
        <w:rPr>
          <w:rFonts w:ascii="Verdana" w:hAnsi="Verdana" w:cs="Times New Roman"/>
          <w:sz w:val="20"/>
          <w:szCs w:val="20"/>
        </w:rPr>
        <w:t xml:space="preserve"> tribunal y de las partes, serán privadas, no serán abiertas al público</w:t>
      </w:r>
      <w:r w:rsidR="00071BE2" w:rsidRPr="009B2CA6">
        <w:rPr>
          <w:rStyle w:val="Refdenotaalpie"/>
          <w:rFonts w:ascii="Verdana" w:hAnsi="Verdana" w:cs="Times New Roman"/>
          <w:sz w:val="20"/>
          <w:szCs w:val="20"/>
        </w:rPr>
        <w:footnoteReference w:id="7"/>
      </w:r>
      <w:r w:rsidRPr="009B2CA6">
        <w:rPr>
          <w:rFonts w:ascii="Verdana" w:hAnsi="Verdana" w:cs="Times New Roman"/>
          <w:sz w:val="20"/>
          <w:szCs w:val="20"/>
        </w:rPr>
        <w:t>.</w:t>
      </w:r>
      <w:r w:rsidR="00071BE2" w:rsidRPr="009B2CA6">
        <w:rPr>
          <w:rFonts w:ascii="Verdana" w:hAnsi="Verdana" w:cs="Times New Roman"/>
          <w:sz w:val="20"/>
          <w:szCs w:val="20"/>
        </w:rPr>
        <w:t xml:space="preserve"> </w:t>
      </w:r>
      <w:r w:rsidR="005433E0" w:rsidRPr="009B2CA6">
        <w:rPr>
          <w:rFonts w:ascii="Verdana" w:hAnsi="Verdana" w:cs="Times New Roman"/>
          <w:sz w:val="20"/>
          <w:szCs w:val="20"/>
        </w:rPr>
        <w:t xml:space="preserve">No existe en las reglas de la CCI disposición alguna que permita la presentación de terceros, la publicación de documentos o </w:t>
      </w:r>
      <w:r w:rsidR="0046062A" w:rsidRPr="009B2CA6">
        <w:rPr>
          <w:rFonts w:ascii="Verdana" w:hAnsi="Verdana" w:cs="Times New Roman"/>
          <w:sz w:val="20"/>
          <w:szCs w:val="20"/>
        </w:rPr>
        <w:t>el propio laudo, dejando dicha determinación en poder de las partes o del tribunal arbitral en ausencia de acuerdo entre las partes, siempre en relación o de conformidad c</w:t>
      </w:r>
      <w:r w:rsidR="0026384D" w:rsidRPr="009B2CA6">
        <w:rPr>
          <w:rFonts w:ascii="Verdana" w:hAnsi="Verdana" w:cs="Times New Roman"/>
          <w:sz w:val="20"/>
          <w:szCs w:val="20"/>
        </w:rPr>
        <w:t>on las leyes aplicables al caso,</w:t>
      </w:r>
      <w:r w:rsidR="0046062A" w:rsidRPr="009B2CA6">
        <w:rPr>
          <w:rFonts w:ascii="Verdana" w:hAnsi="Verdana" w:cs="Times New Roman"/>
          <w:sz w:val="20"/>
          <w:szCs w:val="20"/>
        </w:rPr>
        <w:t xml:space="preserve"> </w:t>
      </w:r>
      <w:r w:rsidR="0026384D" w:rsidRPr="009B2CA6">
        <w:rPr>
          <w:rFonts w:ascii="Verdana" w:hAnsi="Verdana" w:cs="Times New Roman"/>
          <w:sz w:val="20"/>
          <w:szCs w:val="20"/>
        </w:rPr>
        <w:t>l</w:t>
      </w:r>
      <w:r w:rsidR="00AA6252" w:rsidRPr="009B2CA6">
        <w:rPr>
          <w:rFonts w:ascii="Verdana" w:hAnsi="Verdana" w:cs="Times New Roman"/>
          <w:sz w:val="20"/>
          <w:szCs w:val="20"/>
        </w:rPr>
        <w:t>o que reafirma una vez más</w:t>
      </w:r>
      <w:r w:rsidR="00071BE2" w:rsidRPr="009B2CA6">
        <w:rPr>
          <w:rFonts w:ascii="Verdana" w:hAnsi="Verdana" w:cs="Times New Roman"/>
          <w:sz w:val="20"/>
          <w:szCs w:val="20"/>
        </w:rPr>
        <w:t xml:space="preserve"> la fuerza enraizada de la confidencialidad y privacidad en este tipo de procedimientos. </w:t>
      </w:r>
    </w:p>
    <w:p w:rsidR="00251FD3" w:rsidRPr="009B2CA6" w:rsidRDefault="001562C7"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Sin embargo, </w:t>
      </w:r>
      <w:r w:rsidR="00071BE2" w:rsidRPr="009B2CA6">
        <w:rPr>
          <w:rFonts w:ascii="Verdana" w:hAnsi="Verdana" w:cs="Times New Roman"/>
          <w:sz w:val="20"/>
          <w:szCs w:val="20"/>
        </w:rPr>
        <w:t xml:space="preserve">consideramos que, </w:t>
      </w:r>
      <w:r w:rsidR="002B4B4C" w:rsidRPr="009B2CA6">
        <w:rPr>
          <w:rFonts w:ascii="Verdana" w:hAnsi="Verdana" w:cs="Times New Roman"/>
          <w:sz w:val="20"/>
          <w:szCs w:val="20"/>
        </w:rPr>
        <w:t>ante</w:t>
      </w:r>
      <w:r w:rsidR="00071BE2" w:rsidRPr="009B2CA6">
        <w:rPr>
          <w:rFonts w:ascii="Verdana" w:hAnsi="Verdana" w:cs="Times New Roman"/>
          <w:sz w:val="20"/>
          <w:szCs w:val="20"/>
        </w:rPr>
        <w:t xml:space="preserve"> el </w:t>
      </w:r>
      <w:r w:rsidR="002B4B4C" w:rsidRPr="009B2CA6">
        <w:rPr>
          <w:rFonts w:ascii="Verdana" w:hAnsi="Verdana" w:cs="Times New Roman"/>
          <w:sz w:val="20"/>
          <w:szCs w:val="20"/>
        </w:rPr>
        <w:t xml:space="preserve">innegable carácter privado que tiene </w:t>
      </w:r>
      <w:r w:rsidR="00831A92" w:rsidRPr="009B2CA6">
        <w:rPr>
          <w:rFonts w:ascii="Verdana" w:hAnsi="Verdana" w:cs="Times New Roman"/>
          <w:sz w:val="20"/>
          <w:szCs w:val="20"/>
        </w:rPr>
        <w:t xml:space="preserve">el </w:t>
      </w:r>
      <w:r w:rsidR="00071BE2" w:rsidRPr="009B2CA6">
        <w:rPr>
          <w:rFonts w:ascii="Verdana" w:hAnsi="Verdana" w:cs="Times New Roman"/>
          <w:sz w:val="20"/>
          <w:szCs w:val="20"/>
        </w:rPr>
        <w:t xml:space="preserve">arbitraje comercial </w:t>
      </w:r>
      <w:r w:rsidR="000A1BB1" w:rsidRPr="009B2CA6">
        <w:rPr>
          <w:rFonts w:ascii="Verdana" w:hAnsi="Verdana" w:cs="Times New Roman"/>
          <w:sz w:val="20"/>
          <w:szCs w:val="20"/>
        </w:rPr>
        <w:t>internacional</w:t>
      </w:r>
      <w:r w:rsidR="00831A92" w:rsidRPr="009B2CA6">
        <w:rPr>
          <w:rFonts w:ascii="Verdana" w:hAnsi="Verdana" w:cs="Times New Roman"/>
          <w:sz w:val="20"/>
          <w:szCs w:val="20"/>
        </w:rPr>
        <w:t xml:space="preserve">, éste debe ceder siempre </w:t>
      </w:r>
      <w:r w:rsidR="00C74DF5" w:rsidRPr="009B2CA6">
        <w:rPr>
          <w:rFonts w:ascii="Verdana" w:hAnsi="Verdana" w:cs="Times New Roman"/>
          <w:sz w:val="20"/>
          <w:szCs w:val="20"/>
        </w:rPr>
        <w:t xml:space="preserve">y </w:t>
      </w:r>
      <w:r w:rsidR="00831A92" w:rsidRPr="009B2CA6">
        <w:rPr>
          <w:rFonts w:ascii="Verdana" w:hAnsi="Verdana" w:cs="Times New Roman"/>
          <w:sz w:val="20"/>
          <w:szCs w:val="20"/>
        </w:rPr>
        <w:t>cuando</w:t>
      </w:r>
      <w:r w:rsidR="00071BE2" w:rsidRPr="009B2CA6">
        <w:rPr>
          <w:rFonts w:ascii="Verdana" w:hAnsi="Verdana" w:cs="Times New Roman"/>
          <w:sz w:val="20"/>
          <w:szCs w:val="20"/>
        </w:rPr>
        <w:t xml:space="preserve"> una de las partes sea un Estado o un ente público, teniendo en cuenta el interés público presente en la cuestión</w:t>
      </w:r>
      <w:r w:rsidR="00C74DF5" w:rsidRPr="009B2CA6">
        <w:rPr>
          <w:rFonts w:ascii="Verdana" w:hAnsi="Verdana" w:cs="Times New Roman"/>
          <w:sz w:val="20"/>
          <w:szCs w:val="20"/>
        </w:rPr>
        <w:t>, l</w:t>
      </w:r>
      <w:r w:rsidR="00071BE2" w:rsidRPr="009B2CA6">
        <w:rPr>
          <w:rFonts w:ascii="Verdana" w:hAnsi="Verdana" w:cs="Times New Roman"/>
          <w:sz w:val="20"/>
          <w:szCs w:val="20"/>
        </w:rPr>
        <w:t>o que amerita un cambio de mentalidad en este sentido respecto al arbitraje comercial.</w:t>
      </w:r>
      <w:r w:rsidR="00E81C9B" w:rsidRPr="009B2CA6">
        <w:rPr>
          <w:rFonts w:ascii="Verdana" w:hAnsi="Verdana" w:cs="Times New Roman"/>
          <w:sz w:val="20"/>
          <w:szCs w:val="20"/>
        </w:rPr>
        <w:t xml:space="preserve"> La CCI, como</w:t>
      </w:r>
      <w:r w:rsidR="002B4B4C" w:rsidRPr="009B2CA6">
        <w:rPr>
          <w:rFonts w:ascii="Verdana" w:hAnsi="Verdana" w:cs="Times New Roman"/>
          <w:sz w:val="20"/>
          <w:szCs w:val="20"/>
        </w:rPr>
        <w:t xml:space="preserve"> principal</w:t>
      </w:r>
      <w:r w:rsidR="00E81C9B" w:rsidRPr="009B2CA6">
        <w:rPr>
          <w:rFonts w:ascii="Verdana" w:hAnsi="Verdana" w:cs="Times New Roman"/>
          <w:sz w:val="20"/>
          <w:szCs w:val="20"/>
        </w:rPr>
        <w:t xml:space="preserve"> institución arbitral, debe reconocer</w:t>
      </w:r>
      <w:r w:rsidR="00071BE2" w:rsidRPr="009B2CA6">
        <w:rPr>
          <w:rFonts w:ascii="Verdana" w:hAnsi="Verdana" w:cs="Times New Roman"/>
          <w:sz w:val="20"/>
          <w:szCs w:val="20"/>
        </w:rPr>
        <w:t xml:space="preserve"> que sus procedimientos no están</w:t>
      </w:r>
      <w:r w:rsidR="00A43576" w:rsidRPr="009B2CA6">
        <w:rPr>
          <w:rFonts w:ascii="Verdana" w:hAnsi="Verdana" w:cs="Times New Roman"/>
          <w:sz w:val="20"/>
          <w:szCs w:val="20"/>
        </w:rPr>
        <w:t xml:space="preserve"> al margen</w:t>
      </w:r>
      <w:r w:rsidR="00071BE2" w:rsidRPr="009B2CA6">
        <w:rPr>
          <w:rFonts w:ascii="Verdana" w:hAnsi="Verdana" w:cs="Times New Roman"/>
          <w:sz w:val="20"/>
          <w:szCs w:val="20"/>
        </w:rPr>
        <w:t>, en determinados momentos, de un interés público, el</w:t>
      </w:r>
      <w:r w:rsidR="00E81C9B" w:rsidRPr="009B2CA6">
        <w:rPr>
          <w:rFonts w:ascii="Verdana" w:hAnsi="Verdana" w:cs="Times New Roman"/>
          <w:sz w:val="20"/>
          <w:szCs w:val="20"/>
        </w:rPr>
        <w:t xml:space="preserve"> cual debe ser tenido en cuenta</w:t>
      </w:r>
      <w:r w:rsidR="00A30BC7" w:rsidRPr="009B2CA6">
        <w:rPr>
          <w:rFonts w:ascii="Verdana" w:hAnsi="Verdana" w:cs="Times New Roman"/>
          <w:sz w:val="20"/>
          <w:szCs w:val="20"/>
        </w:rPr>
        <w:t xml:space="preserve"> y</w:t>
      </w:r>
      <w:r w:rsidR="00071BE2" w:rsidRPr="009B2CA6">
        <w:rPr>
          <w:rFonts w:ascii="Verdana" w:hAnsi="Verdana" w:cs="Times New Roman"/>
          <w:sz w:val="20"/>
          <w:szCs w:val="20"/>
        </w:rPr>
        <w:t xml:space="preserve"> que posibilita </w:t>
      </w:r>
      <w:r w:rsidR="00A30BC7" w:rsidRPr="009B2CA6">
        <w:rPr>
          <w:rFonts w:ascii="Verdana" w:hAnsi="Verdana" w:cs="Times New Roman"/>
          <w:sz w:val="20"/>
          <w:szCs w:val="20"/>
        </w:rPr>
        <w:t>una ma</w:t>
      </w:r>
      <w:r w:rsidR="00CD1003" w:rsidRPr="009B2CA6">
        <w:rPr>
          <w:rFonts w:ascii="Verdana" w:hAnsi="Verdana" w:cs="Times New Roman"/>
          <w:sz w:val="20"/>
          <w:szCs w:val="20"/>
        </w:rPr>
        <w:t>yor transparencia de los mismos,</w:t>
      </w:r>
      <w:r w:rsidR="00071BE2" w:rsidRPr="009B2CA6">
        <w:rPr>
          <w:rFonts w:ascii="Verdana" w:hAnsi="Verdana" w:cs="Times New Roman"/>
          <w:sz w:val="20"/>
          <w:szCs w:val="20"/>
        </w:rPr>
        <w:t xml:space="preserve"> permitiendo </w:t>
      </w:r>
      <w:r w:rsidR="00A30BC7" w:rsidRPr="009B2CA6">
        <w:rPr>
          <w:rFonts w:ascii="Verdana" w:hAnsi="Verdana" w:cs="Times New Roman"/>
          <w:sz w:val="20"/>
          <w:szCs w:val="20"/>
        </w:rPr>
        <w:t>que sean conocidos</w:t>
      </w:r>
      <w:r w:rsidR="00071BE2" w:rsidRPr="009B2CA6">
        <w:rPr>
          <w:rFonts w:ascii="Verdana" w:hAnsi="Verdana" w:cs="Times New Roman"/>
          <w:sz w:val="20"/>
          <w:szCs w:val="20"/>
        </w:rPr>
        <w:t xml:space="preserve"> por te</w:t>
      </w:r>
      <w:r w:rsidR="00A43576" w:rsidRPr="009B2CA6">
        <w:rPr>
          <w:rFonts w:ascii="Verdana" w:hAnsi="Verdana" w:cs="Times New Roman"/>
          <w:sz w:val="20"/>
          <w:szCs w:val="20"/>
        </w:rPr>
        <w:t xml:space="preserve">rceros ajenos al procedimiento y hasta por </w:t>
      </w:r>
      <w:r w:rsidR="00071BE2" w:rsidRPr="009B2CA6">
        <w:rPr>
          <w:rFonts w:ascii="Verdana" w:hAnsi="Verdana" w:cs="Times New Roman"/>
          <w:sz w:val="20"/>
          <w:szCs w:val="20"/>
        </w:rPr>
        <w:t xml:space="preserve">la </w:t>
      </w:r>
      <w:r w:rsidR="00A30BC7" w:rsidRPr="009B2CA6">
        <w:rPr>
          <w:rFonts w:ascii="Verdana" w:hAnsi="Verdana" w:cs="Times New Roman"/>
          <w:sz w:val="20"/>
          <w:szCs w:val="20"/>
        </w:rPr>
        <w:t xml:space="preserve">propia </w:t>
      </w:r>
      <w:r w:rsidR="00071BE2" w:rsidRPr="009B2CA6">
        <w:rPr>
          <w:rFonts w:ascii="Verdana" w:hAnsi="Verdana" w:cs="Times New Roman"/>
          <w:sz w:val="20"/>
          <w:szCs w:val="20"/>
        </w:rPr>
        <w:t>sociedad civil, máxima exigente de la transpar</w:t>
      </w:r>
      <w:r w:rsidR="00A43576" w:rsidRPr="009B2CA6">
        <w:rPr>
          <w:rFonts w:ascii="Verdana" w:hAnsi="Verdana" w:cs="Times New Roman"/>
          <w:sz w:val="20"/>
          <w:szCs w:val="20"/>
        </w:rPr>
        <w:t>encia en este tipo de arbitrajes con presencia de una parte estatal o pública</w:t>
      </w:r>
      <w:r w:rsidR="00071BE2" w:rsidRPr="009B2CA6">
        <w:rPr>
          <w:rFonts w:ascii="Verdana" w:hAnsi="Verdana" w:cs="Times New Roman"/>
          <w:sz w:val="20"/>
          <w:szCs w:val="20"/>
        </w:rPr>
        <w:t xml:space="preserve">. </w:t>
      </w:r>
    </w:p>
    <w:p w:rsidR="00251FD3" w:rsidRDefault="00251FD3" w:rsidP="006D3AD5">
      <w:pPr>
        <w:pStyle w:val="Contenidodelatabla"/>
        <w:spacing w:line="240" w:lineRule="auto"/>
        <w:ind w:firstLine="0"/>
        <w:outlineLvl w:val="2"/>
        <w:rPr>
          <w:rFonts w:ascii="Times New Roman" w:hAnsi="Times New Roman" w:cs="Times New Roman"/>
          <w:b/>
          <w:sz w:val="24"/>
          <w:szCs w:val="24"/>
        </w:rPr>
      </w:pPr>
    </w:p>
    <w:p w:rsidR="00855BBA" w:rsidRPr="009B2CA6" w:rsidRDefault="00D80F1A" w:rsidP="006D3AD5">
      <w:pPr>
        <w:pStyle w:val="Contenidodelatabla"/>
        <w:spacing w:line="240" w:lineRule="auto"/>
        <w:ind w:firstLine="0"/>
        <w:outlineLvl w:val="2"/>
        <w:rPr>
          <w:rFonts w:ascii="Verdana" w:hAnsi="Verdana" w:cs="Times New Roman"/>
          <w:b/>
          <w:sz w:val="20"/>
          <w:szCs w:val="20"/>
        </w:rPr>
      </w:pPr>
      <w:bookmarkStart w:id="12" w:name="_Toc536741914"/>
      <w:bookmarkStart w:id="13" w:name="_Toc1224436"/>
      <w:r w:rsidRPr="009B2CA6">
        <w:rPr>
          <w:rFonts w:ascii="Verdana" w:hAnsi="Verdana" w:cs="Times New Roman"/>
          <w:b/>
          <w:sz w:val="20"/>
          <w:szCs w:val="20"/>
        </w:rPr>
        <w:t>3</w:t>
      </w:r>
      <w:r w:rsidR="00AA3DB0">
        <w:rPr>
          <w:rFonts w:ascii="Verdana" w:hAnsi="Verdana" w:cs="Times New Roman"/>
          <w:b/>
          <w:sz w:val="20"/>
          <w:szCs w:val="20"/>
        </w:rPr>
        <w:t>.</w:t>
      </w:r>
      <w:r w:rsidR="004C70AD" w:rsidRPr="009B2CA6">
        <w:rPr>
          <w:rFonts w:ascii="Verdana" w:hAnsi="Verdana" w:cs="Times New Roman"/>
          <w:b/>
          <w:sz w:val="20"/>
          <w:szCs w:val="20"/>
        </w:rPr>
        <w:t xml:space="preserve"> L</w:t>
      </w:r>
      <w:r w:rsidR="00E031FD" w:rsidRPr="009B2CA6">
        <w:rPr>
          <w:rFonts w:ascii="Verdana" w:hAnsi="Verdana" w:cs="Times New Roman"/>
          <w:b/>
          <w:sz w:val="20"/>
          <w:szCs w:val="20"/>
        </w:rPr>
        <w:t>a transparencia en las reglas</w:t>
      </w:r>
      <w:r w:rsidR="00855BBA" w:rsidRPr="009B2CA6">
        <w:rPr>
          <w:rFonts w:ascii="Verdana" w:hAnsi="Verdana" w:cs="Times New Roman"/>
          <w:b/>
          <w:sz w:val="20"/>
          <w:szCs w:val="20"/>
        </w:rPr>
        <w:t xml:space="preserve"> de arbitraje del CIADI.</w:t>
      </w:r>
      <w:bookmarkEnd w:id="12"/>
      <w:bookmarkEnd w:id="13"/>
    </w:p>
    <w:p w:rsidR="00754A61" w:rsidRPr="009B2CA6" w:rsidRDefault="00754A6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lastRenderedPageBreak/>
        <w:t>A diferencia del arbitraje comercial internacional</w:t>
      </w:r>
      <w:r w:rsidR="00633088" w:rsidRPr="009B2CA6">
        <w:rPr>
          <w:rFonts w:ascii="Verdana" w:hAnsi="Verdana" w:cs="Times New Roman"/>
          <w:sz w:val="20"/>
          <w:szCs w:val="20"/>
        </w:rPr>
        <w:t>,</w:t>
      </w:r>
      <w:r w:rsidRPr="009B2CA6">
        <w:rPr>
          <w:rFonts w:ascii="Verdana" w:hAnsi="Verdana" w:cs="Times New Roman"/>
          <w:sz w:val="20"/>
          <w:szCs w:val="20"/>
        </w:rPr>
        <w:t xml:space="preserve"> que tradicionalmente se basa en el principio de confidencialidad</w:t>
      </w:r>
      <w:r w:rsidRPr="009B2CA6">
        <w:rPr>
          <w:rStyle w:val="Refdenotaalpie"/>
          <w:rFonts w:ascii="Verdana" w:hAnsi="Verdana" w:cs="Times New Roman"/>
          <w:sz w:val="20"/>
          <w:szCs w:val="20"/>
        </w:rPr>
        <w:footnoteReference w:id="8"/>
      </w:r>
      <w:r w:rsidRPr="009B2CA6">
        <w:rPr>
          <w:rFonts w:ascii="Verdana" w:hAnsi="Verdana" w:cs="Times New Roman"/>
          <w:sz w:val="20"/>
          <w:szCs w:val="20"/>
        </w:rPr>
        <w:t xml:space="preserve"> -aunque debemos destacar la existencia de jurisdicciones que no lo aceptan como modalidad por defecto, por lo que las partes deben incorporar específicamente la confidencialidad en su acuerdo de arbitraje</w:t>
      </w:r>
      <w:r w:rsidRPr="009B2CA6">
        <w:rPr>
          <w:rStyle w:val="Refdenotaalpie"/>
          <w:rFonts w:ascii="Verdana" w:hAnsi="Verdana" w:cs="Times New Roman"/>
          <w:sz w:val="20"/>
          <w:szCs w:val="20"/>
        </w:rPr>
        <w:footnoteReference w:id="9"/>
      </w:r>
      <w:r w:rsidRPr="009B2CA6">
        <w:rPr>
          <w:rFonts w:ascii="Verdana" w:hAnsi="Verdana" w:cs="Times New Roman"/>
          <w:sz w:val="20"/>
          <w:szCs w:val="20"/>
        </w:rPr>
        <w:t>-, el sistema de solución de conflic</w:t>
      </w:r>
      <w:r w:rsidR="00C44317" w:rsidRPr="009B2CA6">
        <w:rPr>
          <w:rFonts w:ascii="Verdana" w:hAnsi="Verdana" w:cs="Times New Roman"/>
          <w:sz w:val="20"/>
          <w:szCs w:val="20"/>
        </w:rPr>
        <w:t xml:space="preserve">tos inversionista-Estado tiene una fuerte </w:t>
      </w:r>
      <w:r w:rsidR="00C277CD" w:rsidRPr="009B2CA6">
        <w:rPr>
          <w:rFonts w:ascii="Verdana" w:hAnsi="Verdana" w:cs="Times New Roman"/>
          <w:sz w:val="20"/>
          <w:szCs w:val="20"/>
        </w:rPr>
        <w:t xml:space="preserve">implicación en </w:t>
      </w:r>
      <w:r w:rsidR="00C44317" w:rsidRPr="009B2CA6">
        <w:rPr>
          <w:rFonts w:ascii="Verdana" w:hAnsi="Verdana" w:cs="Times New Roman"/>
          <w:sz w:val="20"/>
          <w:szCs w:val="20"/>
        </w:rPr>
        <w:t>e</w:t>
      </w:r>
      <w:r w:rsidR="00C277CD" w:rsidRPr="009B2CA6">
        <w:rPr>
          <w:rFonts w:ascii="Verdana" w:hAnsi="Verdana" w:cs="Times New Roman"/>
          <w:sz w:val="20"/>
          <w:szCs w:val="20"/>
        </w:rPr>
        <w:t>l interés público, estando presente</w:t>
      </w:r>
      <w:r w:rsidRPr="009B2CA6">
        <w:rPr>
          <w:rFonts w:ascii="Verdana" w:hAnsi="Verdana" w:cs="Times New Roman"/>
          <w:sz w:val="20"/>
          <w:szCs w:val="20"/>
        </w:rPr>
        <w:t xml:space="preserve"> </w:t>
      </w:r>
      <w:r w:rsidR="00C277CD" w:rsidRPr="009B2CA6">
        <w:rPr>
          <w:rFonts w:ascii="Verdana" w:hAnsi="Verdana" w:cs="Times New Roman"/>
          <w:sz w:val="20"/>
          <w:szCs w:val="20"/>
        </w:rPr>
        <w:t>en litigios relacionados con los recursos naturales,</w:t>
      </w:r>
      <w:r w:rsidRPr="009B2CA6">
        <w:rPr>
          <w:rFonts w:ascii="Verdana" w:hAnsi="Verdana" w:cs="Times New Roman"/>
          <w:sz w:val="20"/>
          <w:szCs w:val="20"/>
        </w:rPr>
        <w:t xml:space="preserve"> cuestiones ambientales</w:t>
      </w:r>
      <w:r w:rsidR="00C277CD" w:rsidRPr="009B2CA6">
        <w:rPr>
          <w:rFonts w:ascii="Verdana" w:hAnsi="Verdana" w:cs="Times New Roman"/>
          <w:sz w:val="20"/>
          <w:szCs w:val="20"/>
        </w:rPr>
        <w:t xml:space="preserve"> o de salud pública de los Estados</w:t>
      </w:r>
      <w:r w:rsidRPr="009B2CA6">
        <w:rPr>
          <w:rFonts w:ascii="Verdana" w:hAnsi="Verdana" w:cs="Times New Roman"/>
          <w:sz w:val="20"/>
          <w:szCs w:val="20"/>
        </w:rPr>
        <w:t xml:space="preserve">. Como el </w:t>
      </w:r>
      <w:r w:rsidR="00840192" w:rsidRPr="009B2CA6">
        <w:rPr>
          <w:rFonts w:ascii="Verdana" w:hAnsi="Verdana" w:cs="Times New Roman"/>
          <w:sz w:val="20"/>
          <w:szCs w:val="20"/>
        </w:rPr>
        <w:t>E</w:t>
      </w:r>
      <w:r w:rsidRPr="009B2CA6">
        <w:rPr>
          <w:rFonts w:ascii="Verdana" w:hAnsi="Verdana" w:cs="Times New Roman"/>
          <w:sz w:val="20"/>
          <w:szCs w:val="20"/>
        </w:rPr>
        <w:t>stado anfitrión es normalmente el demandado, los poderes reguladores, los objetivos de la</w:t>
      </w:r>
      <w:r w:rsidR="00F47983" w:rsidRPr="009B2CA6">
        <w:rPr>
          <w:rFonts w:ascii="Verdana" w:hAnsi="Verdana" w:cs="Times New Roman"/>
          <w:sz w:val="20"/>
          <w:szCs w:val="20"/>
        </w:rPr>
        <w:t>s políticas públicas y la recaudación económica</w:t>
      </w:r>
      <w:r w:rsidRPr="009B2CA6">
        <w:rPr>
          <w:rFonts w:ascii="Verdana" w:hAnsi="Verdana" w:cs="Times New Roman"/>
          <w:sz w:val="20"/>
          <w:szCs w:val="20"/>
        </w:rPr>
        <w:t xml:space="preserve"> de los contribuyentes pueden estar involucrados en los ca</w:t>
      </w:r>
      <w:r w:rsidR="004975A2" w:rsidRPr="009B2CA6">
        <w:rPr>
          <w:rFonts w:ascii="Verdana" w:hAnsi="Verdana" w:cs="Times New Roman"/>
          <w:sz w:val="20"/>
          <w:szCs w:val="20"/>
        </w:rPr>
        <w:t>sos de arbitraje de inversiones,</w:t>
      </w:r>
      <w:r w:rsidRPr="009B2CA6">
        <w:rPr>
          <w:rFonts w:ascii="Verdana" w:hAnsi="Verdana" w:cs="Times New Roman"/>
          <w:sz w:val="20"/>
          <w:szCs w:val="20"/>
        </w:rPr>
        <w:t xml:space="preserve"> </w:t>
      </w:r>
      <w:r w:rsidR="004975A2" w:rsidRPr="009B2CA6">
        <w:rPr>
          <w:rFonts w:ascii="Verdana" w:hAnsi="Verdana" w:cs="Times New Roman"/>
          <w:sz w:val="20"/>
          <w:szCs w:val="20"/>
        </w:rPr>
        <w:t>m</w:t>
      </w:r>
      <w:r w:rsidR="00C277CD" w:rsidRPr="009B2CA6">
        <w:rPr>
          <w:rFonts w:ascii="Verdana" w:hAnsi="Verdana" w:cs="Times New Roman"/>
          <w:sz w:val="20"/>
          <w:szCs w:val="20"/>
        </w:rPr>
        <w:t xml:space="preserve">otivos estos que </w:t>
      </w:r>
      <w:r w:rsidRPr="009B2CA6">
        <w:rPr>
          <w:rFonts w:ascii="Verdana" w:hAnsi="Verdana" w:cs="Times New Roman"/>
          <w:sz w:val="20"/>
          <w:szCs w:val="20"/>
        </w:rPr>
        <w:t>ha</w:t>
      </w:r>
      <w:r w:rsidR="00C971BC">
        <w:rPr>
          <w:rFonts w:ascii="Verdana" w:hAnsi="Verdana" w:cs="Times New Roman"/>
          <w:sz w:val="20"/>
          <w:szCs w:val="20"/>
        </w:rPr>
        <w:t>n</w:t>
      </w:r>
      <w:r w:rsidRPr="009B2CA6">
        <w:rPr>
          <w:rFonts w:ascii="Verdana" w:hAnsi="Verdana" w:cs="Times New Roman"/>
          <w:sz w:val="20"/>
          <w:szCs w:val="20"/>
        </w:rPr>
        <w:t xml:space="preserve"> propiciado un aumento de las exigencias respecto a la transparencia en el arbitraje </w:t>
      </w:r>
      <w:r w:rsidR="00E564EB" w:rsidRPr="009B2CA6">
        <w:rPr>
          <w:rFonts w:ascii="Verdana" w:hAnsi="Verdana" w:cs="Times New Roman"/>
          <w:sz w:val="20"/>
          <w:szCs w:val="20"/>
        </w:rPr>
        <w:t>inversionista-Estado</w:t>
      </w:r>
      <w:r w:rsidRPr="009B2CA6">
        <w:rPr>
          <w:rFonts w:ascii="Verdana" w:hAnsi="Verdana" w:cs="Times New Roman"/>
          <w:sz w:val="20"/>
          <w:szCs w:val="20"/>
        </w:rPr>
        <w:t xml:space="preserve"> a nivel internacional. </w:t>
      </w:r>
    </w:p>
    <w:p w:rsidR="00DB1F26" w:rsidRPr="009B2CA6" w:rsidRDefault="00754A6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En el ámbito más restringido del Derecho internacional de las inversiones, la transparencia puede tener v</w:t>
      </w:r>
      <w:r w:rsidR="00A131FF" w:rsidRPr="009B2CA6">
        <w:rPr>
          <w:rFonts w:ascii="Verdana" w:hAnsi="Verdana" w:cs="Times New Roman"/>
          <w:sz w:val="20"/>
          <w:szCs w:val="20"/>
        </w:rPr>
        <w:t>arias dimensiones. Por un lado</w:t>
      </w:r>
      <w:r w:rsidR="00DA2670" w:rsidRPr="009B2CA6">
        <w:rPr>
          <w:rFonts w:ascii="Verdana" w:hAnsi="Verdana" w:cs="Times New Roman"/>
          <w:sz w:val="20"/>
          <w:szCs w:val="20"/>
        </w:rPr>
        <w:t xml:space="preserve">, puede remitirse </w:t>
      </w:r>
      <w:r w:rsidR="00983602" w:rsidRPr="009B2CA6">
        <w:rPr>
          <w:rFonts w:ascii="Verdana" w:hAnsi="Verdana" w:cs="Times New Roman"/>
          <w:sz w:val="20"/>
          <w:szCs w:val="20"/>
        </w:rPr>
        <w:t>a la obligación</w:t>
      </w:r>
      <w:r w:rsidRPr="009B2CA6">
        <w:rPr>
          <w:rFonts w:ascii="Verdana" w:hAnsi="Verdana" w:cs="Times New Roman"/>
          <w:sz w:val="20"/>
          <w:szCs w:val="20"/>
        </w:rPr>
        <w:t xml:space="preserve"> del Estado anfitrión de proporcionar información adecuada al inversor extranjero sobre su legislación pertinente y los procesos administrativos de toma de decisiones</w:t>
      </w:r>
      <w:r w:rsidR="00983602" w:rsidRPr="009B2CA6">
        <w:rPr>
          <w:rFonts w:ascii="Verdana" w:hAnsi="Verdana" w:cs="Times New Roman"/>
          <w:sz w:val="20"/>
          <w:szCs w:val="20"/>
        </w:rPr>
        <w:t>,</w:t>
      </w:r>
      <w:r w:rsidRPr="009B2CA6">
        <w:rPr>
          <w:rFonts w:ascii="Verdana" w:hAnsi="Verdana" w:cs="Times New Roman"/>
          <w:sz w:val="20"/>
          <w:szCs w:val="20"/>
        </w:rPr>
        <w:t xml:space="preserve"> en la medida en que pueda afectar a la inversión extranjera. Dichas obligaciones en materia de transparencia </w:t>
      </w:r>
      <w:r w:rsidR="005037CD" w:rsidRPr="009B2CA6">
        <w:rPr>
          <w:rFonts w:ascii="Verdana" w:hAnsi="Verdana" w:cs="Times New Roman"/>
          <w:sz w:val="20"/>
          <w:szCs w:val="20"/>
        </w:rPr>
        <w:t>pueden exigir que los Estados</w:t>
      </w:r>
      <w:r w:rsidRPr="009B2CA6">
        <w:rPr>
          <w:rFonts w:ascii="Verdana" w:hAnsi="Verdana" w:cs="Times New Roman"/>
          <w:sz w:val="20"/>
          <w:szCs w:val="20"/>
        </w:rPr>
        <w:t xml:space="preserve"> publiquen sin demora o </w:t>
      </w:r>
      <w:r w:rsidR="00C277CD" w:rsidRPr="009B2CA6">
        <w:rPr>
          <w:rFonts w:ascii="Verdana" w:hAnsi="Verdana" w:cs="Times New Roman"/>
          <w:sz w:val="20"/>
          <w:szCs w:val="20"/>
        </w:rPr>
        <w:t>pongan</w:t>
      </w:r>
      <w:r w:rsidRPr="009B2CA6">
        <w:rPr>
          <w:rFonts w:ascii="Verdana" w:hAnsi="Verdana" w:cs="Times New Roman"/>
          <w:sz w:val="20"/>
          <w:szCs w:val="20"/>
        </w:rPr>
        <w:t xml:space="preserve"> de manera pública a disposición del público sus leyes, reglamentos, procedimientos y decisiones judiciales de alcance general a fin de proporcionar seguridad jurídica y suficiente claridad en términos del Estado de D</w:t>
      </w:r>
      <w:r w:rsidR="00ED2E9F" w:rsidRPr="009B2CA6">
        <w:rPr>
          <w:rFonts w:ascii="Verdana" w:hAnsi="Verdana" w:cs="Times New Roman"/>
          <w:sz w:val="20"/>
          <w:szCs w:val="20"/>
        </w:rPr>
        <w:t>erecho, lo que suele llamarse transparencia reglamentaria.</w:t>
      </w:r>
      <w:r w:rsidRPr="009B2CA6">
        <w:rPr>
          <w:rFonts w:ascii="Verdana" w:hAnsi="Verdana" w:cs="Times New Roman"/>
          <w:sz w:val="20"/>
          <w:szCs w:val="20"/>
        </w:rPr>
        <w:t xml:space="preserve"> </w:t>
      </w:r>
    </w:p>
    <w:p w:rsidR="00B33C97" w:rsidRPr="009B2CA6" w:rsidRDefault="00754A6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De hecho, algunos tribunales de arbitraje de inversiones han considerado la transparencia reglamentaria de parte del criterio sustantivo de “trato justo y equitativo”</w:t>
      </w:r>
      <w:r w:rsidRPr="009B2CA6">
        <w:rPr>
          <w:rStyle w:val="Refdenotaalpie"/>
          <w:rFonts w:ascii="Verdana" w:hAnsi="Verdana" w:cs="Times New Roman"/>
          <w:sz w:val="20"/>
          <w:szCs w:val="20"/>
        </w:rPr>
        <w:footnoteReference w:id="10"/>
      </w:r>
      <w:r w:rsidR="00324185" w:rsidRPr="009B2CA6">
        <w:rPr>
          <w:rFonts w:ascii="Verdana" w:hAnsi="Verdana" w:cs="Times New Roman"/>
          <w:sz w:val="20"/>
          <w:szCs w:val="20"/>
        </w:rPr>
        <w:t>, e incluso</w:t>
      </w:r>
      <w:r w:rsidR="00AE59C6" w:rsidRPr="009B2CA6">
        <w:rPr>
          <w:rFonts w:ascii="Verdana" w:hAnsi="Verdana" w:cs="Times New Roman"/>
          <w:sz w:val="20"/>
          <w:szCs w:val="20"/>
        </w:rPr>
        <w:t xml:space="preserve"> el principio de transparencia es considerado importante en el Derecho internacional de las inversiones, </w:t>
      </w:r>
      <w:r w:rsidR="00324185" w:rsidRPr="009B2CA6">
        <w:rPr>
          <w:rFonts w:ascii="Verdana" w:hAnsi="Verdana" w:cs="Times New Roman"/>
          <w:sz w:val="20"/>
          <w:szCs w:val="20"/>
        </w:rPr>
        <w:t xml:space="preserve">particularmente como un elemento de la </w:t>
      </w:r>
      <w:r w:rsidR="00AE59C6" w:rsidRPr="009B2CA6">
        <w:rPr>
          <w:rFonts w:ascii="Verdana" w:hAnsi="Verdana" w:cs="Times New Roman"/>
          <w:sz w:val="20"/>
          <w:szCs w:val="20"/>
        </w:rPr>
        <w:t xml:space="preserve">propia </w:t>
      </w:r>
      <w:r w:rsidR="00324185" w:rsidRPr="009B2CA6">
        <w:rPr>
          <w:rFonts w:ascii="Verdana" w:hAnsi="Verdana" w:cs="Times New Roman"/>
          <w:sz w:val="20"/>
          <w:szCs w:val="20"/>
        </w:rPr>
        <w:t>norma de trato justo y equitativo</w:t>
      </w:r>
      <w:r w:rsidR="00324185" w:rsidRPr="009B2CA6">
        <w:rPr>
          <w:rStyle w:val="Refdenotaalpie"/>
          <w:rFonts w:ascii="Verdana" w:hAnsi="Verdana" w:cs="Times New Roman"/>
          <w:sz w:val="20"/>
          <w:szCs w:val="20"/>
        </w:rPr>
        <w:footnoteReference w:id="11"/>
      </w:r>
      <w:r w:rsidRPr="009B2CA6">
        <w:rPr>
          <w:rFonts w:ascii="Verdana" w:hAnsi="Verdana" w:cs="Times New Roman"/>
          <w:sz w:val="20"/>
          <w:szCs w:val="20"/>
        </w:rPr>
        <w:t>.</w:t>
      </w:r>
      <w:r w:rsidR="00BB1122" w:rsidRPr="009B2CA6">
        <w:rPr>
          <w:rFonts w:ascii="Verdana" w:hAnsi="Verdana" w:cs="Times New Roman"/>
          <w:sz w:val="20"/>
          <w:szCs w:val="20"/>
        </w:rPr>
        <w:t xml:space="preserve"> Lo que podemos apreciar en el caso </w:t>
      </w:r>
      <w:r w:rsidR="00B149A7" w:rsidRPr="009B2CA6">
        <w:rPr>
          <w:rFonts w:ascii="Verdana" w:hAnsi="Verdana" w:cs="Times New Roman"/>
          <w:i/>
          <w:sz w:val="20"/>
          <w:szCs w:val="20"/>
        </w:rPr>
        <w:t>Metalclad Corporation vs. Estados Unidos México</w:t>
      </w:r>
      <w:r w:rsidR="00983013" w:rsidRPr="009B2CA6">
        <w:rPr>
          <w:rFonts w:ascii="Verdana" w:hAnsi="Verdana" w:cs="Times New Roman"/>
          <w:sz w:val="20"/>
          <w:szCs w:val="20"/>
        </w:rPr>
        <w:t>,</w:t>
      </w:r>
      <w:r w:rsidR="00BB1122" w:rsidRPr="009B2CA6">
        <w:rPr>
          <w:rFonts w:ascii="Verdana" w:hAnsi="Verdana" w:cs="Times New Roman"/>
          <w:sz w:val="20"/>
          <w:szCs w:val="20"/>
        </w:rPr>
        <w:t xml:space="preserve"> </w:t>
      </w:r>
      <w:r w:rsidR="00B149A7" w:rsidRPr="009B2CA6">
        <w:rPr>
          <w:rFonts w:ascii="Verdana" w:hAnsi="Verdana" w:cs="Times New Roman"/>
          <w:sz w:val="20"/>
          <w:szCs w:val="20"/>
        </w:rPr>
        <w:t>administrado bajos las Reglas del Mecanismo Complementario del CIADI. Controversia que surge de las actividades de Metalclad Corporation (Demandante)</w:t>
      </w:r>
      <w:r w:rsidR="00B149A7" w:rsidRPr="009B2CA6">
        <w:rPr>
          <w:rFonts w:ascii="Verdana" w:hAnsi="Verdana" w:cs="Times New Roman"/>
          <w:i/>
          <w:sz w:val="20"/>
          <w:szCs w:val="20"/>
        </w:rPr>
        <w:t xml:space="preserve"> </w:t>
      </w:r>
      <w:r w:rsidR="00B149A7" w:rsidRPr="009B2CA6">
        <w:rPr>
          <w:rFonts w:ascii="Verdana" w:hAnsi="Verdana" w:cs="Times New Roman"/>
          <w:sz w:val="20"/>
          <w:szCs w:val="20"/>
        </w:rPr>
        <w:t>en el municipio mexicano de Guadalcázar en el Estado mexicano de San Luis Potosí. Metalclad Corporation alega que los Estados Unidos Mexicanos (Demandado)</w:t>
      </w:r>
      <w:r w:rsidR="00983013" w:rsidRPr="009B2CA6">
        <w:rPr>
          <w:rFonts w:ascii="Verdana" w:hAnsi="Verdana" w:cs="Times New Roman"/>
          <w:sz w:val="20"/>
          <w:szCs w:val="20"/>
        </w:rPr>
        <w:t>,</w:t>
      </w:r>
      <w:r w:rsidR="00FD7F5B" w:rsidRPr="009B2CA6">
        <w:rPr>
          <w:rFonts w:ascii="Verdana" w:hAnsi="Verdana" w:cs="Times New Roman"/>
          <w:sz w:val="20"/>
          <w:szCs w:val="20"/>
        </w:rPr>
        <w:t xml:space="preserve"> a través de sus G</w:t>
      </w:r>
      <w:r w:rsidR="00B149A7" w:rsidRPr="009B2CA6">
        <w:rPr>
          <w:rFonts w:ascii="Verdana" w:hAnsi="Verdana" w:cs="Times New Roman"/>
          <w:sz w:val="20"/>
          <w:szCs w:val="20"/>
        </w:rPr>
        <w:t>obier</w:t>
      </w:r>
      <w:r w:rsidR="00FD7F5B" w:rsidRPr="009B2CA6">
        <w:rPr>
          <w:rFonts w:ascii="Verdana" w:hAnsi="Verdana" w:cs="Times New Roman"/>
          <w:sz w:val="20"/>
          <w:szCs w:val="20"/>
        </w:rPr>
        <w:t>nos tanto regionales como estatales</w:t>
      </w:r>
      <w:r w:rsidR="00B149A7" w:rsidRPr="009B2CA6">
        <w:rPr>
          <w:rFonts w:ascii="Verdana" w:hAnsi="Verdana" w:cs="Times New Roman"/>
          <w:sz w:val="20"/>
          <w:szCs w:val="20"/>
        </w:rPr>
        <w:t>, interfirieron en el desarrollo y operación de su confinamiento de residuos peligrosos. Metalclad Corporation fundamenta que esa interferencia es una violación de las disposiciones del Capítulo Once sobre inversión del Tratado de Libre Comercio para América del Norte</w:t>
      </w:r>
      <w:r w:rsidR="00C7151D">
        <w:rPr>
          <w:rFonts w:ascii="Verdana" w:hAnsi="Verdana" w:cs="Times New Roman"/>
          <w:sz w:val="20"/>
          <w:szCs w:val="20"/>
        </w:rPr>
        <w:t xml:space="preserve"> (TLCAN)</w:t>
      </w:r>
      <w:r w:rsidR="00B149A7" w:rsidRPr="009B2CA6">
        <w:rPr>
          <w:rFonts w:ascii="Verdana" w:hAnsi="Verdana" w:cs="Times New Roman"/>
          <w:sz w:val="20"/>
          <w:szCs w:val="20"/>
        </w:rPr>
        <w:t xml:space="preserve">. </w:t>
      </w:r>
    </w:p>
    <w:p w:rsidR="002F7D6B" w:rsidRPr="009B2CA6" w:rsidRDefault="00B149A7" w:rsidP="006D3AD5">
      <w:pPr>
        <w:pStyle w:val="Contenidodelatabla"/>
        <w:spacing w:line="240" w:lineRule="auto"/>
        <w:rPr>
          <w:rFonts w:ascii="Verdana" w:hAnsi="Verdana"/>
          <w:sz w:val="20"/>
          <w:szCs w:val="20"/>
        </w:rPr>
      </w:pPr>
      <w:r w:rsidRPr="009B2CA6">
        <w:rPr>
          <w:rFonts w:ascii="Verdana" w:hAnsi="Verdana" w:cs="Times New Roman"/>
          <w:sz w:val="20"/>
          <w:szCs w:val="20"/>
        </w:rPr>
        <w:t>En particular, el Demando</w:t>
      </w:r>
      <w:r w:rsidR="00651A26" w:rsidRPr="009B2CA6">
        <w:rPr>
          <w:rFonts w:ascii="Verdana" w:hAnsi="Verdana" w:cs="Times New Roman"/>
          <w:sz w:val="20"/>
          <w:szCs w:val="20"/>
        </w:rPr>
        <w:t xml:space="preserve"> alega violaciones al artículo 1105 del TLCAN</w:t>
      </w:r>
      <w:r w:rsidRPr="009B2CA6">
        <w:rPr>
          <w:rFonts w:ascii="Verdana" w:hAnsi="Verdana" w:cs="Times New Roman"/>
          <w:sz w:val="20"/>
          <w:szCs w:val="20"/>
        </w:rPr>
        <w:t xml:space="preserve"> que dispone que cada Parte en el TLCAN “otorgue a las inversiones de inversionistas de otra Parte, trato acorde con el derecho internacional, incluido trato justo y equitativo, así como protección y seguridad</w:t>
      </w:r>
      <w:r w:rsidR="00651A26" w:rsidRPr="009B2CA6">
        <w:rPr>
          <w:rFonts w:ascii="Verdana" w:hAnsi="Verdana" w:cs="Times New Roman"/>
          <w:sz w:val="20"/>
          <w:szCs w:val="20"/>
        </w:rPr>
        <w:t xml:space="preserve"> plenas”,</w:t>
      </w:r>
      <w:r w:rsidRPr="009B2CA6">
        <w:rPr>
          <w:rFonts w:ascii="Verdana" w:hAnsi="Verdana" w:cs="Times New Roman"/>
          <w:sz w:val="20"/>
          <w:szCs w:val="20"/>
        </w:rPr>
        <w:t xml:space="preserve"> y al</w:t>
      </w:r>
      <w:r w:rsidR="00651A26" w:rsidRPr="009B2CA6">
        <w:rPr>
          <w:rFonts w:ascii="Verdana" w:hAnsi="Verdana" w:cs="Times New Roman"/>
          <w:sz w:val="20"/>
          <w:szCs w:val="20"/>
        </w:rPr>
        <w:t xml:space="preserve"> artículo 1110 del propio tratado</w:t>
      </w:r>
      <w:r w:rsidRPr="009B2CA6">
        <w:rPr>
          <w:rFonts w:ascii="Verdana" w:hAnsi="Verdana" w:cs="Times New Roman"/>
          <w:sz w:val="20"/>
          <w:szCs w:val="20"/>
        </w:rPr>
        <w:t xml:space="preserve"> que establece que “ninguna de las Partes podrá nacionalizar ni expropiar, directa o indirectamente, una inversión de un inversionista de otra Parte en su territorio, ni adoptar ninguna medida equivalente a la expropiación o nacionalización de esa inversión (expropiación), salvo que sea: (a</w:t>
      </w:r>
      <w:r w:rsidR="00651A26" w:rsidRPr="009B2CA6">
        <w:rPr>
          <w:rFonts w:ascii="Verdana" w:hAnsi="Verdana" w:cs="Times New Roman"/>
          <w:sz w:val="20"/>
          <w:szCs w:val="20"/>
        </w:rPr>
        <w:t>) por causa de utilidad pública,</w:t>
      </w:r>
      <w:r w:rsidRPr="009B2CA6">
        <w:rPr>
          <w:rFonts w:ascii="Verdana" w:hAnsi="Verdana" w:cs="Times New Roman"/>
          <w:sz w:val="20"/>
          <w:szCs w:val="20"/>
        </w:rPr>
        <w:t xml:space="preserve"> (b) sobre bases no </w:t>
      </w:r>
      <w:r w:rsidR="00651A26" w:rsidRPr="009B2CA6">
        <w:rPr>
          <w:rFonts w:ascii="Verdana" w:hAnsi="Verdana" w:cs="Times New Roman"/>
          <w:sz w:val="20"/>
          <w:szCs w:val="20"/>
        </w:rPr>
        <w:t>discriminatorias,</w:t>
      </w:r>
      <w:r w:rsidRPr="009B2CA6">
        <w:rPr>
          <w:rFonts w:ascii="Verdana" w:hAnsi="Verdana" w:cs="Times New Roman"/>
          <w:sz w:val="20"/>
          <w:szCs w:val="20"/>
        </w:rPr>
        <w:t xml:space="preserve"> (c) con a</w:t>
      </w:r>
      <w:r w:rsidR="002C4635" w:rsidRPr="009B2CA6">
        <w:rPr>
          <w:rFonts w:ascii="Verdana" w:hAnsi="Verdana" w:cs="Times New Roman"/>
          <w:sz w:val="20"/>
          <w:szCs w:val="20"/>
        </w:rPr>
        <w:t>pego al principio de legalidad y</w:t>
      </w:r>
      <w:r w:rsidRPr="009B2CA6">
        <w:rPr>
          <w:rFonts w:ascii="Verdana" w:hAnsi="Verdana" w:cs="Times New Roman"/>
          <w:sz w:val="20"/>
          <w:szCs w:val="20"/>
        </w:rPr>
        <w:t xml:space="preserve"> al artículo </w:t>
      </w:r>
      <w:r w:rsidR="00651A26" w:rsidRPr="009B2CA6">
        <w:rPr>
          <w:rFonts w:ascii="Verdana" w:hAnsi="Verdana" w:cs="Times New Roman"/>
          <w:sz w:val="20"/>
          <w:szCs w:val="20"/>
        </w:rPr>
        <w:t>1105(1)</w:t>
      </w:r>
      <w:r w:rsidRPr="009B2CA6">
        <w:rPr>
          <w:rFonts w:ascii="Verdana" w:hAnsi="Verdana" w:cs="Times New Roman"/>
          <w:sz w:val="20"/>
          <w:szCs w:val="20"/>
        </w:rPr>
        <w:t xml:space="preserve"> y (d) mediante indemnización </w:t>
      </w:r>
      <w:r w:rsidRPr="009B2CA6">
        <w:rPr>
          <w:rFonts w:ascii="Verdana" w:hAnsi="Verdana" w:cs="Times New Roman"/>
          <w:sz w:val="20"/>
          <w:szCs w:val="20"/>
        </w:rPr>
        <w:lastRenderedPageBreak/>
        <w:t xml:space="preserve">conforme a los párrafos 2 a 6”. </w:t>
      </w:r>
      <w:r w:rsidR="00B30A5B" w:rsidRPr="009B2CA6">
        <w:rPr>
          <w:rFonts w:ascii="Verdana" w:hAnsi="Verdana" w:cs="Times New Roman"/>
          <w:sz w:val="20"/>
          <w:szCs w:val="20"/>
        </w:rPr>
        <w:t>México</w:t>
      </w:r>
      <w:r w:rsidR="00B645D9" w:rsidRPr="009B2CA6">
        <w:rPr>
          <w:rFonts w:ascii="Verdana" w:hAnsi="Verdana" w:cs="Times New Roman"/>
          <w:sz w:val="20"/>
          <w:szCs w:val="20"/>
        </w:rPr>
        <w:t xml:space="preserve"> niega los alegatos</w:t>
      </w:r>
      <w:r w:rsidR="00D41A23" w:rsidRPr="009B2CA6">
        <w:rPr>
          <w:rFonts w:ascii="Verdana" w:hAnsi="Verdana" w:cs="Times New Roman"/>
          <w:sz w:val="20"/>
          <w:szCs w:val="20"/>
        </w:rPr>
        <w:t xml:space="preserve"> presentados por el Demandando, y</w:t>
      </w:r>
      <w:r w:rsidR="00312071" w:rsidRPr="009B2CA6">
        <w:rPr>
          <w:rFonts w:ascii="Verdana" w:hAnsi="Verdana" w:cs="Times New Roman"/>
          <w:sz w:val="20"/>
          <w:szCs w:val="20"/>
        </w:rPr>
        <w:t xml:space="preserve"> el T</w:t>
      </w:r>
      <w:r w:rsidR="00B645D9" w:rsidRPr="009B2CA6">
        <w:rPr>
          <w:rFonts w:ascii="Verdana" w:hAnsi="Verdana" w:cs="Times New Roman"/>
          <w:sz w:val="20"/>
          <w:szCs w:val="20"/>
        </w:rPr>
        <w:t xml:space="preserve">ribunal, en su análisis sobre el trato justo y equitativo, </w:t>
      </w:r>
      <w:r w:rsidR="00BB1122" w:rsidRPr="009B2CA6">
        <w:rPr>
          <w:rFonts w:ascii="Verdana" w:hAnsi="Verdana" w:cs="Times New Roman"/>
          <w:sz w:val="20"/>
          <w:szCs w:val="20"/>
        </w:rPr>
        <w:t>expresó que la transparencia es pertinente cuando se aplica el estándar de protección de un trato</w:t>
      </w:r>
      <w:r w:rsidR="00C44317" w:rsidRPr="009B2CA6">
        <w:rPr>
          <w:rFonts w:ascii="Verdana" w:hAnsi="Verdana" w:cs="Times New Roman"/>
          <w:sz w:val="20"/>
          <w:szCs w:val="20"/>
        </w:rPr>
        <w:t xml:space="preserve"> justo y equitativo, </w:t>
      </w:r>
      <w:r w:rsidR="00B645D9" w:rsidRPr="009B2CA6">
        <w:rPr>
          <w:rFonts w:ascii="Verdana" w:hAnsi="Verdana" w:cs="Times New Roman"/>
          <w:sz w:val="20"/>
          <w:szCs w:val="20"/>
        </w:rPr>
        <w:t>afirmando</w:t>
      </w:r>
      <w:r w:rsidR="00C44317" w:rsidRPr="009B2CA6">
        <w:rPr>
          <w:rFonts w:ascii="Verdana" w:hAnsi="Verdana" w:cs="Times New Roman"/>
          <w:sz w:val="20"/>
          <w:szCs w:val="20"/>
        </w:rPr>
        <w:t>:</w:t>
      </w:r>
      <w:r w:rsidR="00BB1122" w:rsidRPr="009B2CA6">
        <w:rPr>
          <w:rFonts w:ascii="Verdana" w:hAnsi="Verdana" w:cs="Times New Roman"/>
          <w:sz w:val="20"/>
          <w:szCs w:val="20"/>
        </w:rPr>
        <w:t xml:space="preserve"> </w:t>
      </w:r>
      <w:r w:rsidR="002B044B" w:rsidRPr="009B2CA6">
        <w:rPr>
          <w:rFonts w:ascii="Verdana" w:hAnsi="Verdana" w:cs="Times New Roman"/>
          <w:sz w:val="20"/>
          <w:szCs w:val="20"/>
        </w:rPr>
        <w:t>“</w:t>
      </w:r>
      <w:r w:rsidR="00C70409" w:rsidRPr="009B2CA6">
        <w:rPr>
          <w:rFonts w:ascii="Verdana" w:hAnsi="Verdana" w:cs="Times New Roman"/>
          <w:i/>
          <w:sz w:val="20"/>
          <w:szCs w:val="20"/>
        </w:rPr>
        <w:t>En la declaración de principios y reglas que introduce el Tratado, la referencia a la “transpare</w:t>
      </w:r>
      <w:r w:rsidR="00C44317" w:rsidRPr="009B2CA6">
        <w:rPr>
          <w:rFonts w:ascii="Verdana" w:hAnsi="Verdana" w:cs="Times New Roman"/>
          <w:i/>
          <w:sz w:val="20"/>
          <w:szCs w:val="20"/>
        </w:rPr>
        <w:t>ncia”</w:t>
      </w:r>
      <w:r w:rsidR="00C70409" w:rsidRPr="009B2CA6">
        <w:rPr>
          <w:rFonts w:ascii="Verdana" w:hAnsi="Verdana" w:cs="Times New Roman"/>
          <w:i/>
          <w:sz w:val="20"/>
          <w:szCs w:val="20"/>
        </w:rPr>
        <w:t xml:space="preserve"> es de importancia mayor. (Artículo 102(1) del TLCAN). El Tribunal entiende que esto incluye la idea de que todo requerimiento legal pertinente a efecto de iniciar, completar u operar exitosamente inversiones realizadas, o que se tenga intención de realizar al amparo del Tratado, deberían de ser de fácil conocimiento de todos los inversionistas afectados de la otra Parte</w:t>
      </w:r>
      <w:r w:rsidR="00C44317" w:rsidRPr="009B2CA6">
        <w:rPr>
          <w:rFonts w:ascii="Verdana" w:hAnsi="Verdana" w:cs="Times New Roman"/>
          <w:i/>
          <w:sz w:val="20"/>
          <w:szCs w:val="20"/>
        </w:rPr>
        <w:t>”</w:t>
      </w:r>
      <w:r w:rsidR="00C36C8E" w:rsidRPr="009B2CA6">
        <w:rPr>
          <w:rStyle w:val="Refdenotaalpie"/>
          <w:rFonts w:ascii="Verdana" w:hAnsi="Verdana" w:cs="Times New Roman"/>
          <w:sz w:val="20"/>
          <w:szCs w:val="20"/>
          <w:lang w:val="en-US"/>
        </w:rPr>
        <w:footnoteReference w:id="12"/>
      </w:r>
      <w:r w:rsidR="00BB1122" w:rsidRPr="009B2CA6">
        <w:rPr>
          <w:rFonts w:ascii="Verdana" w:hAnsi="Verdana" w:cs="Times New Roman"/>
          <w:sz w:val="20"/>
          <w:szCs w:val="20"/>
        </w:rPr>
        <w:t>.</w:t>
      </w:r>
      <w:r w:rsidR="00754A61" w:rsidRPr="009B2CA6">
        <w:rPr>
          <w:rFonts w:ascii="Verdana" w:hAnsi="Verdana"/>
          <w:sz w:val="20"/>
          <w:szCs w:val="20"/>
        </w:rPr>
        <w:t xml:space="preserve"> </w:t>
      </w:r>
      <w:r w:rsidR="00DA664F" w:rsidRPr="009B2CA6">
        <w:rPr>
          <w:rFonts w:ascii="Verdana" w:hAnsi="Verdana" w:cs="Times New Roman"/>
          <w:sz w:val="20"/>
          <w:szCs w:val="20"/>
        </w:rPr>
        <w:t>El tribunal resuelve el caso dictando un laudo a favor del Demandante. Pero México solicitó la nulidad del laudo ante una corte canadiense que sostuvo parcialmente la validez del mismo</w:t>
      </w:r>
      <w:r w:rsidR="00DA664F" w:rsidRPr="009B2CA6">
        <w:rPr>
          <w:rStyle w:val="Refdenotaalpie"/>
          <w:rFonts w:ascii="Verdana" w:hAnsi="Verdana" w:cs="Times New Roman"/>
          <w:sz w:val="20"/>
          <w:szCs w:val="20"/>
        </w:rPr>
        <w:footnoteReference w:id="13"/>
      </w:r>
      <w:r w:rsidR="00DA664F" w:rsidRPr="009B2CA6">
        <w:rPr>
          <w:rFonts w:ascii="Verdana" w:hAnsi="Verdana" w:cs="Times New Roman"/>
          <w:sz w:val="20"/>
          <w:szCs w:val="20"/>
        </w:rPr>
        <w:t>.</w:t>
      </w:r>
    </w:p>
    <w:p w:rsidR="00754A61" w:rsidRPr="009B2CA6" w:rsidRDefault="00865BF8"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Como se puede observar en el citado caso,</w:t>
      </w:r>
      <w:r w:rsidR="00C36C8E" w:rsidRPr="009B2CA6">
        <w:rPr>
          <w:rFonts w:ascii="Verdana" w:hAnsi="Verdana" w:cs="Times New Roman"/>
          <w:sz w:val="20"/>
          <w:szCs w:val="20"/>
        </w:rPr>
        <w:t xml:space="preserve"> el tribunal le atribuye un papel muy significativo al principio de transparencia y en el que cabe interpretaciones mucho más amplias del alcance del estándar de trato justo y equitativo. Si el Estado no garantiza un marco reglamentario transparente, comete una infracción grave del acuerdo original de inversión al que están vinculadas las partes</w:t>
      </w:r>
      <w:r w:rsidR="00C36C8E" w:rsidRPr="009B2CA6">
        <w:rPr>
          <w:rStyle w:val="Refdenotaalpie"/>
          <w:rFonts w:ascii="Verdana" w:hAnsi="Verdana" w:cs="Times New Roman"/>
          <w:sz w:val="20"/>
          <w:szCs w:val="20"/>
        </w:rPr>
        <w:footnoteReference w:id="14"/>
      </w:r>
      <w:r w:rsidR="00C36C8E" w:rsidRPr="009B2CA6">
        <w:rPr>
          <w:rFonts w:ascii="Verdana" w:hAnsi="Verdana" w:cs="Times New Roman"/>
          <w:sz w:val="20"/>
          <w:szCs w:val="20"/>
        </w:rPr>
        <w:t>.</w:t>
      </w:r>
      <w:r w:rsidR="00C36C8E" w:rsidRPr="009B2CA6">
        <w:rPr>
          <w:rFonts w:ascii="Verdana" w:hAnsi="Verdana"/>
          <w:sz w:val="20"/>
          <w:szCs w:val="20"/>
        </w:rPr>
        <w:t xml:space="preserve"> </w:t>
      </w:r>
      <w:r w:rsidR="00A131FF" w:rsidRPr="009B2CA6">
        <w:rPr>
          <w:rFonts w:ascii="Verdana" w:hAnsi="Verdana" w:cs="Times New Roman"/>
          <w:sz w:val="20"/>
          <w:szCs w:val="20"/>
        </w:rPr>
        <w:t>En otro sentido</w:t>
      </w:r>
      <w:r w:rsidR="008471EB" w:rsidRPr="009B2CA6">
        <w:rPr>
          <w:rFonts w:ascii="Verdana" w:hAnsi="Verdana" w:cs="Times New Roman"/>
          <w:sz w:val="20"/>
          <w:szCs w:val="20"/>
        </w:rPr>
        <w:t>, l</w:t>
      </w:r>
      <w:r w:rsidR="00754A61" w:rsidRPr="009B2CA6">
        <w:rPr>
          <w:rFonts w:ascii="Verdana" w:hAnsi="Verdana" w:cs="Times New Roman"/>
          <w:sz w:val="20"/>
          <w:szCs w:val="20"/>
        </w:rPr>
        <w:t>a transparencia también puede referirse a las obligaciones del inversionista extranjero de proporcionar información sobre la inversión</w:t>
      </w:r>
      <w:r w:rsidR="00C90DFB" w:rsidRPr="009B2CA6">
        <w:rPr>
          <w:rFonts w:ascii="Verdana" w:hAnsi="Verdana" w:cs="Times New Roman"/>
          <w:sz w:val="20"/>
          <w:szCs w:val="20"/>
        </w:rPr>
        <w:t xml:space="preserve"> -sin que afecte los secretos comerciales o el </w:t>
      </w:r>
      <w:r w:rsidR="00C90DFB" w:rsidRPr="009B2CA6">
        <w:rPr>
          <w:rFonts w:ascii="Verdana" w:hAnsi="Verdana" w:cs="Times New Roman"/>
          <w:i/>
          <w:sz w:val="20"/>
          <w:szCs w:val="20"/>
        </w:rPr>
        <w:t>know how</w:t>
      </w:r>
      <w:r w:rsidR="00C90DFB" w:rsidRPr="009B2CA6">
        <w:rPr>
          <w:rFonts w:ascii="Verdana" w:hAnsi="Verdana" w:cs="Times New Roman"/>
          <w:sz w:val="20"/>
          <w:szCs w:val="20"/>
        </w:rPr>
        <w:t xml:space="preserve">- </w:t>
      </w:r>
      <w:r w:rsidR="00E430A3" w:rsidRPr="009B2CA6">
        <w:rPr>
          <w:rFonts w:ascii="Verdana" w:hAnsi="Verdana" w:cs="Times New Roman"/>
          <w:sz w:val="20"/>
          <w:szCs w:val="20"/>
        </w:rPr>
        <w:t>y</w:t>
      </w:r>
      <w:r w:rsidR="00754A61" w:rsidRPr="009B2CA6">
        <w:rPr>
          <w:rFonts w:ascii="Verdana" w:hAnsi="Verdana" w:cs="Times New Roman"/>
          <w:sz w:val="20"/>
          <w:szCs w:val="20"/>
        </w:rPr>
        <w:t xml:space="preserve"> s</w:t>
      </w:r>
      <w:r w:rsidR="00C277CD" w:rsidRPr="009B2CA6">
        <w:rPr>
          <w:rFonts w:ascii="Verdana" w:hAnsi="Verdana" w:cs="Times New Roman"/>
          <w:sz w:val="20"/>
          <w:szCs w:val="20"/>
        </w:rPr>
        <w:t>u impacto en el sistema interno de los Estados.</w:t>
      </w:r>
    </w:p>
    <w:p w:rsidR="00754A61" w:rsidRPr="009B2CA6" w:rsidRDefault="00754A61" w:rsidP="006D3AD5">
      <w:pPr>
        <w:pStyle w:val="Contenidodelatabla"/>
        <w:spacing w:line="240" w:lineRule="auto"/>
        <w:rPr>
          <w:rFonts w:ascii="Verdana" w:hAnsi="Verdana" w:cs="Times New Roman"/>
          <w:sz w:val="20"/>
          <w:szCs w:val="20"/>
          <w:highlight w:val="yellow"/>
        </w:rPr>
      </w:pPr>
      <w:r w:rsidRPr="009B2CA6">
        <w:rPr>
          <w:rFonts w:ascii="Verdana" w:hAnsi="Verdana" w:cs="Times New Roman"/>
          <w:sz w:val="20"/>
          <w:szCs w:val="20"/>
        </w:rPr>
        <w:t>La iniciativa más significativa hasta la fecha ha sido el movimiento hacia audiencias abiertas en el arbitraje de inversiones, estableciendo requisitos de apertura y publicidad para asegurar el acceso público a los procedimientos arbitrales entre un inversionista extranjero y un Estado</w:t>
      </w:r>
      <w:r w:rsidR="005037CD" w:rsidRPr="009B2CA6">
        <w:rPr>
          <w:rFonts w:ascii="Verdana" w:hAnsi="Verdana" w:cs="Times New Roman"/>
          <w:sz w:val="20"/>
          <w:szCs w:val="20"/>
        </w:rPr>
        <w:t xml:space="preserve">, tal y como ha ocurrido en el TLCAN y que analizamos más adelante. </w:t>
      </w:r>
      <w:r w:rsidRPr="009B2CA6">
        <w:rPr>
          <w:rFonts w:ascii="Verdana" w:hAnsi="Verdana" w:cs="Times New Roman"/>
          <w:sz w:val="20"/>
          <w:szCs w:val="20"/>
        </w:rPr>
        <w:t xml:space="preserve">Sin embargo, mucho más restringida se encuentra la celebración de audiencias públicas en el ámbito de la CNUDMI y el CIADI. En este sentido, </w:t>
      </w:r>
      <w:r w:rsidR="00C45A01" w:rsidRPr="009B2CA6">
        <w:rPr>
          <w:rFonts w:ascii="Verdana" w:hAnsi="Verdana" w:cs="Times New Roman"/>
          <w:sz w:val="20"/>
          <w:szCs w:val="20"/>
        </w:rPr>
        <w:t xml:space="preserve">el </w:t>
      </w:r>
      <w:r w:rsidR="001B067C" w:rsidRPr="009B2CA6">
        <w:rPr>
          <w:rFonts w:ascii="Verdana" w:hAnsi="Verdana" w:cs="Times New Roman"/>
          <w:sz w:val="20"/>
          <w:szCs w:val="20"/>
        </w:rPr>
        <w:t>Reglamento de Arbitraje de la CNUDMI obliga a las partes contendientes a dar su consentimiento a la apertura de las audiencias</w:t>
      </w:r>
      <w:r w:rsidR="00B30A5B" w:rsidRPr="009B2CA6">
        <w:rPr>
          <w:rFonts w:ascii="Verdana" w:hAnsi="Verdana" w:cs="Times New Roman"/>
          <w:sz w:val="20"/>
          <w:szCs w:val="20"/>
        </w:rPr>
        <w:t>, al reconocer:</w:t>
      </w:r>
      <w:r w:rsidR="001B067C" w:rsidRPr="009B2CA6">
        <w:rPr>
          <w:rFonts w:ascii="Verdana" w:hAnsi="Verdana" w:cs="Times New Roman"/>
          <w:sz w:val="20"/>
          <w:szCs w:val="20"/>
        </w:rPr>
        <w:t xml:space="preserve"> “</w:t>
      </w:r>
      <w:r w:rsidR="001B067C" w:rsidRPr="009B2CA6">
        <w:rPr>
          <w:rFonts w:ascii="Verdana" w:hAnsi="Verdana" w:cs="Times New Roman"/>
          <w:i/>
          <w:sz w:val="20"/>
          <w:szCs w:val="20"/>
        </w:rPr>
        <w:t>Las audiencias se celebrarán a puerta cerrada a menos que las partes acuerden lo contrario. El tribunal arbitral podrá requerir a todo testigo o perito que se retire durante la declaración de otros testigos, salvo que, en principio, no deberá requerirse, a un testigo o perito que sea parte en el arbitraje, que se retire”</w:t>
      </w:r>
      <w:r w:rsidRPr="009B2CA6">
        <w:rPr>
          <w:rStyle w:val="Refdenotaalpie"/>
          <w:rFonts w:ascii="Verdana" w:hAnsi="Verdana" w:cs="Times New Roman"/>
          <w:sz w:val="20"/>
          <w:szCs w:val="20"/>
        </w:rPr>
        <w:footnoteReference w:id="15"/>
      </w:r>
      <w:r w:rsidRPr="009B2CA6">
        <w:rPr>
          <w:rFonts w:ascii="Verdana" w:hAnsi="Verdana" w:cs="Times New Roman"/>
          <w:sz w:val="20"/>
          <w:szCs w:val="20"/>
        </w:rPr>
        <w:t xml:space="preserve">, siendo más </w:t>
      </w:r>
      <w:r w:rsidR="00BF1AB0" w:rsidRPr="009B2CA6">
        <w:rPr>
          <w:rFonts w:ascii="Verdana" w:hAnsi="Verdana" w:cs="Times New Roman"/>
          <w:sz w:val="20"/>
          <w:szCs w:val="20"/>
        </w:rPr>
        <w:t xml:space="preserve">matizado al respecto </w:t>
      </w:r>
      <w:r w:rsidRPr="009B2CA6">
        <w:rPr>
          <w:rFonts w:ascii="Verdana" w:hAnsi="Verdana" w:cs="Times New Roman"/>
          <w:sz w:val="20"/>
          <w:szCs w:val="20"/>
        </w:rPr>
        <w:t>el Reglamento del Mecanismo Complementario del CIADI</w:t>
      </w:r>
      <w:r w:rsidR="004D2CA5" w:rsidRPr="009B2CA6">
        <w:rPr>
          <w:rFonts w:ascii="Verdana" w:hAnsi="Verdana" w:cs="Times New Roman"/>
          <w:sz w:val="20"/>
          <w:szCs w:val="20"/>
        </w:rPr>
        <w:t>, al establecer:</w:t>
      </w:r>
      <w:r w:rsidR="00BF1AB0" w:rsidRPr="009B2CA6">
        <w:rPr>
          <w:rFonts w:ascii="Verdana" w:hAnsi="Verdana" w:cs="Times New Roman"/>
          <w:sz w:val="20"/>
          <w:szCs w:val="20"/>
        </w:rPr>
        <w:t xml:space="preserve"> “</w:t>
      </w:r>
      <w:r w:rsidR="00BF1AB0" w:rsidRPr="009B2CA6">
        <w:rPr>
          <w:rFonts w:ascii="Verdana" w:hAnsi="Verdana" w:cs="Times New Roman"/>
          <w:i/>
          <w:sz w:val="20"/>
          <w:szCs w:val="20"/>
        </w:rPr>
        <w:t>Salvo objeción de alguna de las partes, el Tribunal, tras consultar con el Secretario General, podrá permitir, sujeto a los arreglos logísticos pertinentes, que otras personas además de las partes, sus apoderados, consejeros jurídicos y abogados, testigos y peritos durante su testimonio, y funcionarios del Tribunal asistan a la totalidad o a parte de las audiencias, o las observen. En dichos casos el Tribunal deberá establecer procedimientos para la protección de la información privilegiada o protegida”</w:t>
      </w:r>
      <w:r w:rsidRPr="009B2CA6">
        <w:rPr>
          <w:rStyle w:val="Refdenotaalpie"/>
          <w:rFonts w:ascii="Verdana" w:hAnsi="Verdana" w:cs="Times New Roman"/>
          <w:sz w:val="20"/>
          <w:szCs w:val="20"/>
        </w:rPr>
        <w:footnoteReference w:id="16"/>
      </w:r>
      <w:r w:rsidR="00BF1AB0" w:rsidRPr="009B2CA6">
        <w:rPr>
          <w:rFonts w:ascii="Verdana" w:hAnsi="Verdana" w:cs="Times New Roman"/>
          <w:sz w:val="20"/>
          <w:szCs w:val="20"/>
        </w:rPr>
        <w:t xml:space="preserve">. Sin embargo, el propio reglamento </w:t>
      </w:r>
      <w:r w:rsidR="000401F7" w:rsidRPr="009B2CA6">
        <w:rPr>
          <w:rFonts w:ascii="Verdana" w:hAnsi="Verdana" w:cs="Times New Roman"/>
          <w:sz w:val="20"/>
          <w:szCs w:val="20"/>
        </w:rPr>
        <w:t xml:space="preserve">faculta al tribunal a establecer procedimientos </w:t>
      </w:r>
      <w:r w:rsidR="00736748" w:rsidRPr="009B2CA6">
        <w:rPr>
          <w:rFonts w:ascii="Verdana" w:hAnsi="Verdana" w:cs="Times New Roman"/>
          <w:sz w:val="20"/>
          <w:szCs w:val="20"/>
        </w:rPr>
        <w:t>-</w:t>
      </w:r>
      <w:r w:rsidR="000401F7" w:rsidRPr="009B2CA6">
        <w:rPr>
          <w:rFonts w:ascii="Verdana" w:hAnsi="Verdana" w:cs="Times New Roman"/>
          <w:sz w:val="20"/>
          <w:szCs w:val="20"/>
        </w:rPr>
        <w:t>sin establecer qué tipo de procedimientos</w:t>
      </w:r>
      <w:r w:rsidR="00736748" w:rsidRPr="009B2CA6">
        <w:rPr>
          <w:rFonts w:ascii="Verdana" w:hAnsi="Verdana" w:cs="Times New Roman"/>
          <w:sz w:val="20"/>
          <w:szCs w:val="20"/>
        </w:rPr>
        <w:t>, por ejemplo, una contraprestación o indemnización-</w:t>
      </w:r>
      <w:r w:rsidR="000401F7" w:rsidRPr="009B2CA6">
        <w:rPr>
          <w:rFonts w:ascii="Verdana" w:hAnsi="Verdana" w:cs="Times New Roman"/>
          <w:sz w:val="20"/>
          <w:szCs w:val="20"/>
        </w:rPr>
        <w:t>, par</w:t>
      </w:r>
      <w:r w:rsidR="00C45A01" w:rsidRPr="009B2CA6">
        <w:rPr>
          <w:rFonts w:ascii="Verdana" w:hAnsi="Verdana" w:cs="Times New Roman"/>
          <w:sz w:val="20"/>
          <w:szCs w:val="20"/>
        </w:rPr>
        <w:t>a proteger la información confi</w:t>
      </w:r>
      <w:r w:rsidR="000401F7" w:rsidRPr="009B2CA6">
        <w:rPr>
          <w:rFonts w:ascii="Verdana" w:hAnsi="Verdana" w:cs="Times New Roman"/>
          <w:sz w:val="20"/>
          <w:szCs w:val="20"/>
        </w:rPr>
        <w:t xml:space="preserve">dencial. </w:t>
      </w:r>
      <w:r w:rsidRPr="009B2CA6">
        <w:rPr>
          <w:rFonts w:ascii="Verdana" w:hAnsi="Verdana" w:cs="Times New Roman"/>
          <w:sz w:val="20"/>
          <w:szCs w:val="20"/>
        </w:rPr>
        <w:t xml:space="preserve"> </w:t>
      </w:r>
    </w:p>
    <w:p w:rsidR="00734EEA" w:rsidRPr="009B2CA6" w:rsidRDefault="004C70AD"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w:t>
      </w:r>
      <w:r w:rsidR="00546AE7" w:rsidRPr="009B2CA6">
        <w:rPr>
          <w:rFonts w:ascii="Verdana" w:hAnsi="Verdana" w:cs="Times New Roman"/>
          <w:sz w:val="20"/>
          <w:szCs w:val="20"/>
        </w:rPr>
        <w:t>l desarro</w:t>
      </w:r>
      <w:r w:rsidR="007B36B8" w:rsidRPr="009B2CA6">
        <w:rPr>
          <w:rFonts w:ascii="Verdana" w:hAnsi="Verdana" w:cs="Times New Roman"/>
          <w:sz w:val="20"/>
          <w:szCs w:val="20"/>
        </w:rPr>
        <w:t xml:space="preserve">llo de la transparencia en las normas del </w:t>
      </w:r>
      <w:r w:rsidR="00D044E7" w:rsidRPr="009B2CA6">
        <w:rPr>
          <w:rFonts w:ascii="Verdana" w:hAnsi="Verdana" w:cs="Times New Roman"/>
          <w:sz w:val="20"/>
          <w:szCs w:val="20"/>
        </w:rPr>
        <w:t>CIADI</w:t>
      </w:r>
      <w:r w:rsidR="00546AE7" w:rsidRPr="009B2CA6">
        <w:rPr>
          <w:rFonts w:ascii="Verdana" w:hAnsi="Verdana" w:cs="Times New Roman"/>
          <w:sz w:val="20"/>
          <w:szCs w:val="20"/>
        </w:rPr>
        <w:t>, aunque</w:t>
      </w:r>
      <w:r w:rsidR="005A4625" w:rsidRPr="009B2CA6">
        <w:rPr>
          <w:rFonts w:ascii="Verdana" w:hAnsi="Verdana" w:cs="Times New Roman"/>
          <w:sz w:val="20"/>
          <w:szCs w:val="20"/>
        </w:rPr>
        <w:t xml:space="preserve"> con elementos menos estrictos, </w:t>
      </w:r>
      <w:r w:rsidR="00D044E7" w:rsidRPr="009B2CA6">
        <w:rPr>
          <w:rFonts w:ascii="Verdana" w:hAnsi="Verdana" w:cs="Times New Roman"/>
          <w:sz w:val="20"/>
          <w:szCs w:val="20"/>
        </w:rPr>
        <w:t xml:space="preserve">predominando </w:t>
      </w:r>
      <w:r w:rsidR="005A4625" w:rsidRPr="009B2CA6">
        <w:rPr>
          <w:rFonts w:ascii="Verdana" w:hAnsi="Verdana" w:cs="Times New Roman"/>
          <w:sz w:val="20"/>
          <w:szCs w:val="20"/>
        </w:rPr>
        <w:t xml:space="preserve">más </w:t>
      </w:r>
      <w:r w:rsidR="00D044E7" w:rsidRPr="009B2CA6">
        <w:rPr>
          <w:rFonts w:ascii="Verdana" w:hAnsi="Verdana" w:cs="Times New Roman"/>
          <w:sz w:val="20"/>
          <w:szCs w:val="20"/>
        </w:rPr>
        <w:t>la discreción de</w:t>
      </w:r>
      <w:r w:rsidR="007E111E" w:rsidRPr="009B2CA6">
        <w:rPr>
          <w:rFonts w:ascii="Verdana" w:hAnsi="Verdana" w:cs="Times New Roman"/>
          <w:sz w:val="20"/>
          <w:szCs w:val="20"/>
        </w:rPr>
        <w:t xml:space="preserve"> las partes </w:t>
      </w:r>
      <w:r w:rsidR="005A4625" w:rsidRPr="009B2CA6">
        <w:rPr>
          <w:rFonts w:ascii="Verdana" w:hAnsi="Verdana" w:cs="Times New Roman"/>
          <w:sz w:val="20"/>
          <w:szCs w:val="20"/>
        </w:rPr>
        <w:t>que</w:t>
      </w:r>
      <w:r w:rsidR="00691D49" w:rsidRPr="009B2CA6">
        <w:rPr>
          <w:rFonts w:ascii="Verdana" w:hAnsi="Verdana" w:cs="Times New Roman"/>
          <w:sz w:val="20"/>
          <w:szCs w:val="20"/>
        </w:rPr>
        <w:t xml:space="preserve"> en el TL</w:t>
      </w:r>
      <w:r w:rsidR="00D900BE" w:rsidRPr="009B2CA6">
        <w:rPr>
          <w:rFonts w:ascii="Verdana" w:hAnsi="Verdana" w:cs="Times New Roman"/>
          <w:sz w:val="20"/>
          <w:szCs w:val="20"/>
        </w:rPr>
        <w:t xml:space="preserve">CAN, se alcanzó </w:t>
      </w:r>
      <w:r w:rsidR="00546AE7" w:rsidRPr="009B2CA6">
        <w:rPr>
          <w:rFonts w:ascii="Verdana" w:hAnsi="Verdana" w:cs="Times New Roman"/>
          <w:sz w:val="20"/>
          <w:szCs w:val="20"/>
        </w:rPr>
        <w:t>con la re</w:t>
      </w:r>
      <w:r w:rsidR="00D900BE" w:rsidRPr="009B2CA6">
        <w:rPr>
          <w:rFonts w:ascii="Verdana" w:hAnsi="Verdana" w:cs="Times New Roman"/>
          <w:sz w:val="20"/>
          <w:szCs w:val="20"/>
        </w:rPr>
        <w:t>forma</w:t>
      </w:r>
      <w:r w:rsidR="00D044E7" w:rsidRPr="009B2CA6">
        <w:rPr>
          <w:rFonts w:ascii="Verdana" w:hAnsi="Verdana" w:cs="Times New Roman"/>
          <w:sz w:val="20"/>
          <w:szCs w:val="20"/>
        </w:rPr>
        <w:t xml:space="preserve"> del Reglamento</w:t>
      </w:r>
      <w:r w:rsidR="00691D49" w:rsidRPr="009B2CA6">
        <w:rPr>
          <w:rFonts w:ascii="Verdana" w:hAnsi="Verdana" w:cs="Times New Roman"/>
          <w:sz w:val="20"/>
          <w:szCs w:val="20"/>
        </w:rPr>
        <w:t xml:space="preserve"> CIADI y su Reglamento Complementario</w:t>
      </w:r>
      <w:r w:rsidR="00493D3C" w:rsidRPr="009B2CA6">
        <w:rPr>
          <w:rFonts w:ascii="Verdana" w:hAnsi="Verdana" w:cs="Times New Roman"/>
          <w:sz w:val="20"/>
          <w:szCs w:val="20"/>
        </w:rPr>
        <w:t xml:space="preserve"> del año 2006</w:t>
      </w:r>
      <w:r w:rsidR="00691D49" w:rsidRPr="009B2CA6">
        <w:rPr>
          <w:rFonts w:ascii="Verdana" w:hAnsi="Verdana" w:cs="Times New Roman"/>
          <w:sz w:val="20"/>
          <w:szCs w:val="20"/>
        </w:rPr>
        <w:t>. Q</w:t>
      </w:r>
      <w:r w:rsidR="002A5638" w:rsidRPr="009B2CA6">
        <w:rPr>
          <w:rFonts w:ascii="Verdana" w:hAnsi="Verdana" w:cs="Times New Roman"/>
          <w:sz w:val="20"/>
          <w:szCs w:val="20"/>
        </w:rPr>
        <w:t xml:space="preserve">ue junto a </w:t>
      </w:r>
      <w:r w:rsidR="00691D49" w:rsidRPr="009B2CA6">
        <w:rPr>
          <w:rFonts w:ascii="Verdana" w:hAnsi="Verdana" w:cs="Times New Roman"/>
          <w:sz w:val="20"/>
          <w:szCs w:val="20"/>
        </w:rPr>
        <w:t xml:space="preserve">la Regla </w:t>
      </w:r>
      <w:r w:rsidR="00EE3067" w:rsidRPr="009B2CA6">
        <w:rPr>
          <w:rFonts w:ascii="Verdana" w:hAnsi="Verdana" w:cs="Times New Roman"/>
          <w:sz w:val="20"/>
          <w:szCs w:val="20"/>
        </w:rPr>
        <w:t>39</w:t>
      </w:r>
      <w:r w:rsidR="00691D49" w:rsidRPr="009B2CA6">
        <w:rPr>
          <w:rFonts w:ascii="Verdana" w:hAnsi="Verdana" w:cs="Times New Roman"/>
          <w:sz w:val="20"/>
          <w:szCs w:val="20"/>
        </w:rPr>
        <w:t>(2)</w:t>
      </w:r>
      <w:r w:rsidR="00546AE7" w:rsidRPr="009B2CA6">
        <w:rPr>
          <w:rFonts w:ascii="Verdana" w:hAnsi="Verdana" w:cs="Times New Roman"/>
          <w:sz w:val="20"/>
          <w:szCs w:val="20"/>
        </w:rPr>
        <w:t xml:space="preserve"> sobre la apertu</w:t>
      </w:r>
      <w:r w:rsidR="00691D49" w:rsidRPr="009B2CA6">
        <w:rPr>
          <w:rFonts w:ascii="Verdana" w:hAnsi="Verdana" w:cs="Times New Roman"/>
          <w:sz w:val="20"/>
          <w:szCs w:val="20"/>
        </w:rPr>
        <w:t>ra de las audiencias al público</w:t>
      </w:r>
      <w:r w:rsidR="00734EEA" w:rsidRPr="009B2CA6">
        <w:rPr>
          <w:rFonts w:ascii="Verdana" w:hAnsi="Verdana" w:cs="Times New Roman"/>
          <w:sz w:val="20"/>
          <w:szCs w:val="20"/>
        </w:rPr>
        <w:t>,</w:t>
      </w:r>
      <w:r w:rsidR="00691D49" w:rsidRPr="009B2CA6">
        <w:rPr>
          <w:rFonts w:ascii="Verdana" w:hAnsi="Verdana" w:cs="Times New Roman"/>
          <w:sz w:val="20"/>
          <w:szCs w:val="20"/>
        </w:rPr>
        <w:t xml:space="preserve"> se une la Regla </w:t>
      </w:r>
      <w:r w:rsidR="00EE3067" w:rsidRPr="009B2CA6">
        <w:rPr>
          <w:rFonts w:ascii="Verdana" w:hAnsi="Verdana" w:cs="Times New Roman"/>
          <w:sz w:val="20"/>
          <w:szCs w:val="20"/>
        </w:rPr>
        <w:t>37</w:t>
      </w:r>
      <w:r w:rsidR="00691D49" w:rsidRPr="009B2CA6">
        <w:rPr>
          <w:rFonts w:ascii="Verdana" w:hAnsi="Verdana" w:cs="Times New Roman"/>
          <w:sz w:val="20"/>
          <w:szCs w:val="20"/>
        </w:rPr>
        <w:t xml:space="preserve">(2) </w:t>
      </w:r>
      <w:r w:rsidR="00546AE7" w:rsidRPr="009B2CA6">
        <w:rPr>
          <w:rFonts w:ascii="Verdana" w:hAnsi="Verdana" w:cs="Times New Roman"/>
          <w:sz w:val="20"/>
          <w:szCs w:val="20"/>
        </w:rPr>
        <w:t>sobre la o</w:t>
      </w:r>
      <w:r w:rsidR="0006397C" w:rsidRPr="009B2CA6">
        <w:rPr>
          <w:rFonts w:ascii="Verdana" w:hAnsi="Verdana" w:cs="Times New Roman"/>
          <w:sz w:val="20"/>
          <w:szCs w:val="20"/>
        </w:rPr>
        <w:t>pción de las presentaciones de “</w:t>
      </w:r>
      <w:r w:rsidR="00546AE7" w:rsidRPr="009B2CA6">
        <w:rPr>
          <w:rFonts w:ascii="Verdana" w:hAnsi="Verdana" w:cs="Times New Roman"/>
          <w:sz w:val="20"/>
          <w:szCs w:val="20"/>
        </w:rPr>
        <w:t>partes no conte</w:t>
      </w:r>
      <w:r w:rsidR="00D044E7" w:rsidRPr="009B2CA6">
        <w:rPr>
          <w:rFonts w:ascii="Verdana" w:hAnsi="Verdana" w:cs="Times New Roman"/>
          <w:sz w:val="20"/>
          <w:szCs w:val="20"/>
        </w:rPr>
        <w:t>ndientes</w:t>
      </w:r>
      <w:r w:rsidR="0006397C" w:rsidRPr="009B2CA6">
        <w:rPr>
          <w:rFonts w:ascii="Verdana" w:hAnsi="Verdana" w:cs="Times New Roman"/>
          <w:sz w:val="20"/>
          <w:szCs w:val="20"/>
        </w:rPr>
        <w:t>”</w:t>
      </w:r>
      <w:r w:rsidR="002035DB" w:rsidRPr="009B2CA6">
        <w:rPr>
          <w:rFonts w:ascii="Verdana" w:hAnsi="Verdana" w:cs="Times New Roman"/>
          <w:sz w:val="20"/>
          <w:szCs w:val="20"/>
        </w:rPr>
        <w:t xml:space="preserve">, permitiendo que los tribunales puedan considerar la admisión de presentaciones de </w:t>
      </w:r>
      <w:r w:rsidR="002035DB" w:rsidRPr="009B2CA6">
        <w:rPr>
          <w:rFonts w:ascii="Verdana" w:hAnsi="Verdana" w:cs="Times New Roman"/>
          <w:sz w:val="20"/>
          <w:szCs w:val="20"/>
        </w:rPr>
        <w:lastRenderedPageBreak/>
        <w:t>escritos por terceras partes</w:t>
      </w:r>
      <w:r w:rsidR="00D044E7" w:rsidRPr="009B2CA6">
        <w:rPr>
          <w:rFonts w:ascii="Verdana" w:hAnsi="Verdana" w:cs="Times New Roman"/>
          <w:sz w:val="20"/>
          <w:szCs w:val="20"/>
        </w:rPr>
        <w:t xml:space="preserve"> -</w:t>
      </w:r>
      <w:r w:rsidR="007E111E" w:rsidRPr="009B2CA6">
        <w:rPr>
          <w:rFonts w:ascii="Verdana" w:hAnsi="Verdana" w:cs="Times New Roman"/>
          <w:sz w:val="20"/>
          <w:szCs w:val="20"/>
        </w:rPr>
        <w:t xml:space="preserve">por ejemplo, </w:t>
      </w:r>
      <w:r w:rsidR="007E111E" w:rsidRPr="009B2CA6">
        <w:rPr>
          <w:rFonts w:ascii="Verdana" w:hAnsi="Verdana" w:cs="Times New Roman"/>
          <w:i/>
          <w:sz w:val="20"/>
          <w:szCs w:val="20"/>
        </w:rPr>
        <w:t>amicus c</w:t>
      </w:r>
      <w:r w:rsidR="00546AE7" w:rsidRPr="009B2CA6">
        <w:rPr>
          <w:rFonts w:ascii="Verdana" w:hAnsi="Verdana" w:cs="Times New Roman"/>
          <w:i/>
          <w:sz w:val="20"/>
          <w:szCs w:val="20"/>
        </w:rPr>
        <w:t>uriae</w:t>
      </w:r>
      <w:r w:rsidR="00D044E7" w:rsidRPr="009B2CA6">
        <w:rPr>
          <w:rFonts w:ascii="Verdana" w:hAnsi="Verdana" w:cs="Times New Roman"/>
          <w:sz w:val="20"/>
          <w:szCs w:val="20"/>
        </w:rPr>
        <w:t>-</w:t>
      </w:r>
      <w:r w:rsidR="00EC2915" w:rsidRPr="009B2CA6">
        <w:rPr>
          <w:rFonts w:ascii="Verdana" w:hAnsi="Verdana" w:cs="Times New Roman"/>
          <w:sz w:val="20"/>
          <w:szCs w:val="20"/>
        </w:rPr>
        <w:t>, siempre que consideren que:</w:t>
      </w:r>
      <w:r w:rsidR="00392BC2" w:rsidRPr="009B2CA6">
        <w:rPr>
          <w:rFonts w:ascii="Verdana" w:hAnsi="Verdana" w:cs="Times New Roman"/>
          <w:sz w:val="20"/>
          <w:szCs w:val="20"/>
        </w:rPr>
        <w:t xml:space="preserve"> “</w:t>
      </w:r>
      <w:r w:rsidR="00392BC2" w:rsidRPr="009B2CA6">
        <w:rPr>
          <w:rFonts w:ascii="Verdana" w:hAnsi="Verdana" w:cs="Times New Roman"/>
          <w:i/>
          <w:sz w:val="20"/>
          <w:szCs w:val="20"/>
        </w:rPr>
        <w:t>(…) la presentación de las partes no contendientes ayudaría en la determinación de las cuestiones de hecho o de derecho relacionadas con el procedimiento al aportar una perspectiva, un conocimiento o una visión particular distinta a aquellos de las partes en la diferencia; que la presentación de las partes no contendiente abarque una cuestión dentro del ámbito de la diferencia y que la parte no contendiente tenga un interés significativo en el procedimiento. El Tribunal deberá asegurarse de que la presentación de la parte no contendiente no perturbe el procedimiento, o genere una carga indebida,</w:t>
      </w:r>
      <w:r w:rsidR="00392BC2" w:rsidRPr="009B2CA6">
        <w:rPr>
          <w:rFonts w:ascii="Verdana" w:hAnsi="Verdana"/>
          <w:sz w:val="20"/>
          <w:szCs w:val="20"/>
        </w:rPr>
        <w:t xml:space="preserve"> </w:t>
      </w:r>
      <w:r w:rsidR="00392BC2" w:rsidRPr="009B2CA6">
        <w:rPr>
          <w:rFonts w:ascii="Verdana" w:hAnsi="Verdana" w:cs="Times New Roman"/>
          <w:i/>
          <w:sz w:val="20"/>
          <w:szCs w:val="20"/>
        </w:rPr>
        <w:t>o perjudique injustamente a cualquiera de las partes, y que ambas partes tengan la oportunidad de someter observaciones sobre la presentación de la parte no contendiente</w:t>
      </w:r>
      <w:r w:rsidR="00392BC2" w:rsidRPr="009B2CA6">
        <w:rPr>
          <w:rFonts w:ascii="Verdana" w:hAnsi="Verdana" w:cs="Times New Roman"/>
          <w:sz w:val="20"/>
          <w:szCs w:val="20"/>
        </w:rPr>
        <w:t>”</w:t>
      </w:r>
      <w:r w:rsidR="00392BC2" w:rsidRPr="009B2CA6">
        <w:rPr>
          <w:rStyle w:val="Refdenotaalpie"/>
          <w:rFonts w:ascii="Verdana" w:hAnsi="Verdana" w:cs="Times New Roman"/>
          <w:sz w:val="20"/>
          <w:szCs w:val="20"/>
        </w:rPr>
        <w:footnoteReference w:id="17"/>
      </w:r>
      <w:r w:rsidR="006C4964" w:rsidRPr="009B2CA6">
        <w:rPr>
          <w:rFonts w:ascii="Verdana" w:hAnsi="Verdana" w:cs="Times New Roman"/>
          <w:sz w:val="20"/>
          <w:szCs w:val="20"/>
        </w:rPr>
        <w:t>,</w:t>
      </w:r>
      <w:r w:rsidR="002C59E1" w:rsidRPr="009B2CA6">
        <w:rPr>
          <w:rFonts w:ascii="Verdana" w:hAnsi="Verdana" w:cs="Times New Roman"/>
          <w:sz w:val="20"/>
          <w:szCs w:val="20"/>
        </w:rPr>
        <w:t xml:space="preserve"> </w:t>
      </w:r>
      <w:r w:rsidR="00546AE7" w:rsidRPr="009B2CA6">
        <w:rPr>
          <w:rFonts w:ascii="Verdana" w:hAnsi="Verdana" w:cs="Times New Roman"/>
          <w:sz w:val="20"/>
          <w:szCs w:val="20"/>
        </w:rPr>
        <w:t xml:space="preserve">y </w:t>
      </w:r>
      <w:r w:rsidR="00216004" w:rsidRPr="009B2CA6">
        <w:rPr>
          <w:rFonts w:ascii="Verdana" w:hAnsi="Verdana" w:cs="Times New Roman"/>
          <w:sz w:val="20"/>
          <w:szCs w:val="20"/>
        </w:rPr>
        <w:t>la Regla 48</w:t>
      </w:r>
      <w:r w:rsidR="006C4964" w:rsidRPr="009B2CA6">
        <w:rPr>
          <w:rFonts w:ascii="Verdana" w:hAnsi="Verdana" w:cs="Times New Roman"/>
          <w:sz w:val="20"/>
          <w:szCs w:val="20"/>
        </w:rPr>
        <w:t>(4)</w:t>
      </w:r>
      <w:r w:rsidR="00216004" w:rsidRPr="009B2CA6">
        <w:rPr>
          <w:rFonts w:ascii="Verdana" w:hAnsi="Verdana" w:cs="Times New Roman"/>
          <w:sz w:val="20"/>
          <w:szCs w:val="20"/>
        </w:rPr>
        <w:t xml:space="preserve"> sobre la comunicación</w:t>
      </w:r>
      <w:r w:rsidR="00546AE7" w:rsidRPr="009B2CA6">
        <w:rPr>
          <w:rFonts w:ascii="Verdana" w:hAnsi="Verdana" w:cs="Times New Roman"/>
          <w:sz w:val="20"/>
          <w:szCs w:val="20"/>
        </w:rPr>
        <w:t xml:space="preserve"> de los la</w:t>
      </w:r>
      <w:r w:rsidR="007E111E" w:rsidRPr="009B2CA6">
        <w:rPr>
          <w:rFonts w:ascii="Verdana" w:hAnsi="Verdana" w:cs="Times New Roman"/>
          <w:sz w:val="20"/>
          <w:szCs w:val="20"/>
        </w:rPr>
        <w:t>udos</w:t>
      </w:r>
      <w:r w:rsidR="00EC2915" w:rsidRPr="009B2CA6">
        <w:rPr>
          <w:rFonts w:ascii="Verdana" w:hAnsi="Verdana" w:cs="Times New Roman"/>
          <w:sz w:val="20"/>
          <w:szCs w:val="20"/>
        </w:rPr>
        <w:t>, la cual establece que:</w:t>
      </w:r>
      <w:r w:rsidR="006C4964" w:rsidRPr="009B2CA6">
        <w:rPr>
          <w:rFonts w:ascii="Verdana" w:hAnsi="Verdana" w:cs="Times New Roman"/>
          <w:sz w:val="20"/>
          <w:szCs w:val="20"/>
        </w:rPr>
        <w:t xml:space="preserve"> “</w:t>
      </w:r>
      <w:r w:rsidR="006C4964" w:rsidRPr="009B2CA6">
        <w:rPr>
          <w:rFonts w:ascii="Verdana" w:hAnsi="Verdana" w:cs="Times New Roman"/>
          <w:i/>
          <w:sz w:val="20"/>
          <w:szCs w:val="20"/>
        </w:rPr>
        <w:t>(…) el Centro deberá incluir prontamente en sus publicaciones extractos del razonamiento del Tribunal</w:t>
      </w:r>
      <w:r w:rsidR="006C4964" w:rsidRPr="009B2CA6">
        <w:rPr>
          <w:rFonts w:ascii="Verdana" w:hAnsi="Verdana" w:cs="Times New Roman"/>
          <w:sz w:val="20"/>
          <w:szCs w:val="20"/>
        </w:rPr>
        <w:t>”</w:t>
      </w:r>
      <w:r w:rsidR="007E111E" w:rsidRPr="009B2CA6">
        <w:rPr>
          <w:rStyle w:val="Refdenotaalpie"/>
          <w:rFonts w:ascii="Verdana" w:hAnsi="Verdana" w:cs="Times New Roman"/>
          <w:sz w:val="20"/>
          <w:szCs w:val="20"/>
        </w:rPr>
        <w:footnoteReference w:id="18"/>
      </w:r>
      <w:r w:rsidR="00734EEA" w:rsidRPr="009B2CA6">
        <w:rPr>
          <w:rFonts w:ascii="Verdana" w:hAnsi="Verdana" w:cs="Times New Roman"/>
          <w:sz w:val="20"/>
          <w:szCs w:val="20"/>
        </w:rPr>
        <w:t xml:space="preserve">. </w:t>
      </w:r>
      <w:r w:rsidR="002035DB" w:rsidRPr="009B2CA6">
        <w:rPr>
          <w:rFonts w:ascii="Verdana" w:hAnsi="Verdana" w:cs="Times New Roman"/>
          <w:sz w:val="20"/>
          <w:szCs w:val="20"/>
        </w:rPr>
        <w:t>E</w:t>
      </w:r>
      <w:r w:rsidR="00734EEA" w:rsidRPr="009B2CA6">
        <w:rPr>
          <w:rFonts w:ascii="Verdana" w:hAnsi="Verdana" w:cs="Times New Roman"/>
          <w:sz w:val="20"/>
          <w:szCs w:val="20"/>
        </w:rPr>
        <w:t xml:space="preserve">l mayor cambio respecto a la transparencia en las reglas del CIADI </w:t>
      </w:r>
      <w:r w:rsidR="002035DB" w:rsidRPr="009B2CA6">
        <w:rPr>
          <w:rFonts w:ascii="Verdana" w:hAnsi="Verdana" w:cs="Times New Roman"/>
          <w:sz w:val="20"/>
          <w:szCs w:val="20"/>
        </w:rPr>
        <w:t>ha sido</w:t>
      </w:r>
      <w:r w:rsidR="00734EEA" w:rsidRPr="009B2CA6">
        <w:rPr>
          <w:rFonts w:ascii="Verdana" w:hAnsi="Verdana" w:cs="Times New Roman"/>
          <w:sz w:val="20"/>
          <w:szCs w:val="20"/>
        </w:rPr>
        <w:t xml:space="preserve"> la participación de terceros, ya que previo a las modificacio</w:t>
      </w:r>
      <w:r w:rsidR="003C296A" w:rsidRPr="009B2CA6">
        <w:rPr>
          <w:rFonts w:ascii="Verdana" w:hAnsi="Verdana" w:cs="Times New Roman"/>
          <w:sz w:val="20"/>
          <w:szCs w:val="20"/>
        </w:rPr>
        <w:t>nes introducidas en el año 2006</w:t>
      </w:r>
      <w:r w:rsidR="00734EEA" w:rsidRPr="009B2CA6">
        <w:rPr>
          <w:rFonts w:ascii="Verdana" w:hAnsi="Verdana" w:cs="Times New Roman"/>
          <w:sz w:val="20"/>
          <w:szCs w:val="20"/>
        </w:rPr>
        <w:t xml:space="preserve"> no se preveía la presentación de comunicaciones por parte de terceros. </w:t>
      </w:r>
    </w:p>
    <w:p w:rsidR="00427117" w:rsidRPr="009B2CA6" w:rsidRDefault="004A01E6"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En este sentido, l</w:t>
      </w:r>
      <w:r w:rsidR="00256672" w:rsidRPr="009B2CA6">
        <w:rPr>
          <w:rFonts w:ascii="Verdana" w:hAnsi="Verdana" w:cs="Times New Roman"/>
          <w:sz w:val="20"/>
          <w:szCs w:val="20"/>
        </w:rPr>
        <w:t xml:space="preserve">as disposiciones sobre </w:t>
      </w:r>
      <w:r w:rsidR="00546AE7" w:rsidRPr="009B2CA6">
        <w:rPr>
          <w:rFonts w:ascii="Verdana" w:hAnsi="Verdana" w:cs="Times New Roman"/>
          <w:sz w:val="20"/>
          <w:szCs w:val="20"/>
        </w:rPr>
        <w:t>transparencia del CIADI</w:t>
      </w:r>
      <w:r w:rsidR="00C7151D">
        <w:rPr>
          <w:rFonts w:ascii="Verdana" w:hAnsi="Verdana" w:cs="Times New Roman"/>
          <w:sz w:val="20"/>
          <w:szCs w:val="20"/>
        </w:rPr>
        <w:t>, en el ámbito comparado,</w:t>
      </w:r>
      <w:r w:rsidR="00546AE7" w:rsidRPr="009B2CA6">
        <w:rPr>
          <w:rFonts w:ascii="Verdana" w:hAnsi="Verdana" w:cs="Times New Roman"/>
          <w:sz w:val="20"/>
          <w:szCs w:val="20"/>
        </w:rPr>
        <w:t xml:space="preserve"> son más débiles que las negociadas por los Estados Unidos en sus A</w:t>
      </w:r>
      <w:r w:rsidR="00C7151D">
        <w:rPr>
          <w:rFonts w:ascii="Verdana" w:hAnsi="Verdana" w:cs="Times New Roman"/>
          <w:sz w:val="20"/>
          <w:szCs w:val="20"/>
        </w:rPr>
        <w:t xml:space="preserve">cuerdos </w:t>
      </w:r>
      <w:r w:rsidR="00546AE7" w:rsidRPr="009B2CA6">
        <w:rPr>
          <w:rFonts w:ascii="Verdana" w:hAnsi="Verdana" w:cs="Times New Roman"/>
          <w:sz w:val="20"/>
          <w:szCs w:val="20"/>
        </w:rPr>
        <w:t>I</w:t>
      </w:r>
      <w:r w:rsidR="00C7151D">
        <w:rPr>
          <w:rFonts w:ascii="Verdana" w:hAnsi="Verdana" w:cs="Times New Roman"/>
          <w:sz w:val="20"/>
          <w:szCs w:val="20"/>
        </w:rPr>
        <w:t xml:space="preserve">nternacionales de </w:t>
      </w:r>
      <w:r w:rsidR="00546AE7" w:rsidRPr="009B2CA6">
        <w:rPr>
          <w:rFonts w:ascii="Verdana" w:hAnsi="Verdana" w:cs="Times New Roman"/>
          <w:sz w:val="20"/>
          <w:szCs w:val="20"/>
        </w:rPr>
        <w:t>I</w:t>
      </w:r>
      <w:r w:rsidR="00C7151D">
        <w:rPr>
          <w:rFonts w:ascii="Verdana" w:hAnsi="Verdana" w:cs="Times New Roman"/>
          <w:sz w:val="20"/>
          <w:szCs w:val="20"/>
        </w:rPr>
        <w:t>nversión (AII)</w:t>
      </w:r>
      <w:r w:rsidR="00C277CD" w:rsidRPr="009B2CA6">
        <w:rPr>
          <w:rFonts w:ascii="Verdana" w:hAnsi="Verdana" w:cs="Times New Roman"/>
          <w:sz w:val="20"/>
          <w:szCs w:val="20"/>
        </w:rPr>
        <w:t>,</w:t>
      </w:r>
      <w:r w:rsidR="00DC3D82" w:rsidRPr="009B2CA6">
        <w:rPr>
          <w:rFonts w:ascii="Verdana" w:hAnsi="Verdana" w:cs="Times New Roman"/>
          <w:sz w:val="20"/>
          <w:szCs w:val="20"/>
        </w:rPr>
        <w:t xml:space="preserve"> e incluso las pactadas en el propio </w:t>
      </w:r>
      <w:r w:rsidR="00CD7545" w:rsidRPr="009B2CA6">
        <w:rPr>
          <w:rFonts w:ascii="Verdana" w:hAnsi="Verdana" w:cs="Times New Roman"/>
          <w:sz w:val="20"/>
          <w:szCs w:val="20"/>
        </w:rPr>
        <w:t>TLCAN</w:t>
      </w:r>
      <w:r w:rsidR="00DC3D82" w:rsidRPr="009B2CA6">
        <w:rPr>
          <w:rFonts w:ascii="Verdana" w:hAnsi="Verdana" w:cs="Times New Roman"/>
          <w:sz w:val="20"/>
          <w:szCs w:val="20"/>
        </w:rPr>
        <w:t xml:space="preserve">. </w:t>
      </w:r>
      <w:r w:rsidR="001970A6" w:rsidRPr="009B2CA6">
        <w:rPr>
          <w:rFonts w:ascii="Verdana" w:hAnsi="Verdana" w:cs="Times New Roman"/>
          <w:sz w:val="20"/>
          <w:szCs w:val="20"/>
        </w:rPr>
        <w:t>Est</w:t>
      </w:r>
      <w:r w:rsidR="00BF12DA" w:rsidRPr="009B2CA6">
        <w:rPr>
          <w:rFonts w:ascii="Verdana" w:hAnsi="Verdana" w:cs="Times New Roman"/>
          <w:sz w:val="20"/>
          <w:szCs w:val="20"/>
        </w:rPr>
        <w:t xml:space="preserve">as modificaciones </w:t>
      </w:r>
      <w:r w:rsidR="00BC5477" w:rsidRPr="009B2CA6">
        <w:rPr>
          <w:rFonts w:ascii="Verdana" w:hAnsi="Verdana" w:cs="Times New Roman"/>
          <w:sz w:val="20"/>
          <w:szCs w:val="20"/>
        </w:rPr>
        <w:t>han</w:t>
      </w:r>
      <w:r w:rsidR="00BF12DA" w:rsidRPr="009B2CA6">
        <w:rPr>
          <w:rFonts w:ascii="Verdana" w:hAnsi="Verdana" w:cs="Times New Roman"/>
          <w:sz w:val="20"/>
          <w:szCs w:val="20"/>
        </w:rPr>
        <w:t xml:space="preserve"> propiciado que el CIADI pueda</w:t>
      </w:r>
      <w:r w:rsidR="00DC3D82" w:rsidRPr="009B2CA6">
        <w:rPr>
          <w:rFonts w:ascii="Verdana" w:hAnsi="Verdana" w:cs="Times New Roman"/>
          <w:sz w:val="20"/>
          <w:szCs w:val="20"/>
        </w:rPr>
        <w:t xml:space="preserve"> publica</w:t>
      </w:r>
      <w:r w:rsidR="00BF12DA" w:rsidRPr="009B2CA6">
        <w:rPr>
          <w:rFonts w:ascii="Verdana" w:hAnsi="Verdana" w:cs="Times New Roman"/>
          <w:sz w:val="20"/>
          <w:szCs w:val="20"/>
        </w:rPr>
        <w:t>r</w:t>
      </w:r>
      <w:r w:rsidR="00DC3D82" w:rsidRPr="009B2CA6">
        <w:rPr>
          <w:rFonts w:ascii="Verdana" w:hAnsi="Verdana" w:cs="Times New Roman"/>
          <w:sz w:val="20"/>
          <w:szCs w:val="20"/>
        </w:rPr>
        <w:t xml:space="preserve"> en su sitio web algunos detalles de los procedimientos relativos a las controvers</w:t>
      </w:r>
      <w:r w:rsidR="00302B94" w:rsidRPr="009B2CA6">
        <w:rPr>
          <w:rFonts w:ascii="Verdana" w:hAnsi="Verdana" w:cs="Times New Roman"/>
          <w:sz w:val="20"/>
          <w:szCs w:val="20"/>
        </w:rPr>
        <w:t>ias registradas por la secretarí</w:t>
      </w:r>
      <w:r w:rsidR="00DC3D82" w:rsidRPr="009B2CA6">
        <w:rPr>
          <w:rFonts w:ascii="Verdana" w:hAnsi="Verdana" w:cs="Times New Roman"/>
          <w:sz w:val="20"/>
          <w:szCs w:val="20"/>
        </w:rPr>
        <w:t>a</w:t>
      </w:r>
      <w:r w:rsidR="00216004" w:rsidRPr="009B2CA6">
        <w:rPr>
          <w:rFonts w:ascii="Verdana" w:hAnsi="Verdana" w:cs="Times New Roman"/>
          <w:sz w:val="20"/>
          <w:szCs w:val="20"/>
        </w:rPr>
        <w:t>, incluyendo la composición del tribunal arbitral, el</w:t>
      </w:r>
      <w:r w:rsidR="00320BA6" w:rsidRPr="009B2CA6">
        <w:rPr>
          <w:rFonts w:ascii="Verdana" w:hAnsi="Verdana" w:cs="Times New Roman"/>
          <w:sz w:val="20"/>
          <w:szCs w:val="20"/>
        </w:rPr>
        <w:t xml:space="preserve"> estado del procedimiento, las ó</w:t>
      </w:r>
      <w:r w:rsidR="00216004" w:rsidRPr="009B2CA6">
        <w:rPr>
          <w:rFonts w:ascii="Verdana" w:hAnsi="Verdana" w:cs="Times New Roman"/>
          <w:sz w:val="20"/>
          <w:szCs w:val="20"/>
        </w:rPr>
        <w:t>rdenes emitidas por el tribunal</w:t>
      </w:r>
      <w:r w:rsidR="007A0325" w:rsidRPr="009B2CA6">
        <w:rPr>
          <w:rFonts w:ascii="Verdana" w:hAnsi="Verdana" w:cs="Times New Roman"/>
          <w:sz w:val="20"/>
          <w:szCs w:val="20"/>
        </w:rPr>
        <w:t>.</w:t>
      </w:r>
      <w:r w:rsidR="001970A6" w:rsidRPr="009B2CA6">
        <w:rPr>
          <w:rFonts w:ascii="Verdana" w:hAnsi="Verdana" w:cs="Times New Roman"/>
          <w:sz w:val="20"/>
          <w:szCs w:val="20"/>
        </w:rPr>
        <w:t xml:space="preserve"> </w:t>
      </w:r>
      <w:r w:rsidR="007A0325" w:rsidRPr="009B2CA6">
        <w:rPr>
          <w:rFonts w:ascii="Verdana" w:hAnsi="Verdana" w:cs="Times New Roman"/>
          <w:sz w:val="20"/>
          <w:szCs w:val="20"/>
        </w:rPr>
        <w:t>P</w:t>
      </w:r>
      <w:r w:rsidR="001970A6" w:rsidRPr="009B2CA6">
        <w:rPr>
          <w:rFonts w:ascii="Verdana" w:hAnsi="Verdana" w:cs="Times New Roman"/>
          <w:sz w:val="20"/>
          <w:szCs w:val="20"/>
        </w:rPr>
        <w:t>er</w:t>
      </w:r>
      <w:r w:rsidR="007A0325" w:rsidRPr="009B2CA6">
        <w:rPr>
          <w:rFonts w:ascii="Verdana" w:hAnsi="Verdana" w:cs="Times New Roman"/>
          <w:sz w:val="20"/>
          <w:szCs w:val="20"/>
        </w:rPr>
        <w:t>o</w:t>
      </w:r>
      <w:r w:rsidR="001970A6" w:rsidRPr="009B2CA6">
        <w:rPr>
          <w:rFonts w:ascii="Verdana" w:hAnsi="Verdana" w:cs="Times New Roman"/>
          <w:sz w:val="20"/>
          <w:szCs w:val="20"/>
        </w:rPr>
        <w:t xml:space="preserve"> </w:t>
      </w:r>
      <w:r w:rsidR="00D24A65" w:rsidRPr="009B2CA6">
        <w:rPr>
          <w:rFonts w:ascii="Verdana" w:hAnsi="Verdana" w:cs="Times New Roman"/>
          <w:sz w:val="20"/>
          <w:szCs w:val="20"/>
        </w:rPr>
        <w:t>e</w:t>
      </w:r>
      <w:r w:rsidR="00256672" w:rsidRPr="009B2CA6">
        <w:rPr>
          <w:rFonts w:ascii="Verdana" w:hAnsi="Verdana" w:cs="Times New Roman"/>
          <w:sz w:val="20"/>
          <w:szCs w:val="20"/>
        </w:rPr>
        <w:t>l propio</w:t>
      </w:r>
      <w:r w:rsidR="00DC3D82" w:rsidRPr="009B2CA6">
        <w:rPr>
          <w:rFonts w:ascii="Verdana" w:hAnsi="Verdana" w:cs="Times New Roman"/>
          <w:sz w:val="20"/>
          <w:szCs w:val="20"/>
        </w:rPr>
        <w:t xml:space="preserve"> Reglamento prohíbe</w:t>
      </w:r>
      <w:r w:rsidR="004653B3" w:rsidRPr="009B2CA6">
        <w:rPr>
          <w:rFonts w:ascii="Verdana" w:hAnsi="Verdana" w:cs="Times New Roman"/>
          <w:sz w:val="20"/>
          <w:szCs w:val="20"/>
        </w:rPr>
        <w:t>, la</w:t>
      </w:r>
      <w:r w:rsidR="00DC3D82" w:rsidRPr="009B2CA6">
        <w:rPr>
          <w:rFonts w:ascii="Verdana" w:hAnsi="Verdana" w:cs="Times New Roman"/>
          <w:sz w:val="20"/>
          <w:szCs w:val="20"/>
        </w:rPr>
        <w:t xml:space="preserve"> publicación del fallo, dígase</w:t>
      </w:r>
      <w:r w:rsidR="00BC5477" w:rsidRPr="009B2CA6">
        <w:rPr>
          <w:rFonts w:ascii="Verdana" w:hAnsi="Verdana" w:cs="Times New Roman"/>
          <w:sz w:val="20"/>
          <w:szCs w:val="20"/>
        </w:rPr>
        <w:t>,</w:t>
      </w:r>
      <w:r w:rsidR="00216004" w:rsidRPr="009B2CA6">
        <w:rPr>
          <w:rFonts w:ascii="Verdana" w:hAnsi="Verdana" w:cs="Times New Roman"/>
          <w:sz w:val="20"/>
          <w:szCs w:val="20"/>
        </w:rPr>
        <w:t xml:space="preserve"> </w:t>
      </w:r>
      <w:r w:rsidR="00DC3D82" w:rsidRPr="009B2CA6">
        <w:rPr>
          <w:rFonts w:ascii="Verdana" w:hAnsi="Verdana" w:cs="Times New Roman"/>
          <w:sz w:val="20"/>
          <w:szCs w:val="20"/>
        </w:rPr>
        <w:t xml:space="preserve">los laudos, sin </w:t>
      </w:r>
      <w:r w:rsidR="004653B3" w:rsidRPr="009B2CA6">
        <w:rPr>
          <w:rFonts w:ascii="Verdana" w:hAnsi="Verdana" w:cs="Times New Roman"/>
          <w:sz w:val="20"/>
          <w:szCs w:val="20"/>
        </w:rPr>
        <w:t>el consentimiento de las partes.</w:t>
      </w:r>
    </w:p>
    <w:p w:rsidR="00546AE7" w:rsidRPr="009B2CA6" w:rsidRDefault="00A60181" w:rsidP="006D3AD5">
      <w:pPr>
        <w:pStyle w:val="Contenidodelatabla"/>
        <w:spacing w:line="240" w:lineRule="auto"/>
        <w:rPr>
          <w:rFonts w:ascii="Verdana" w:hAnsi="Verdana" w:cs="Times New Roman"/>
          <w:sz w:val="20"/>
          <w:szCs w:val="20"/>
          <w:highlight w:val="yellow"/>
        </w:rPr>
      </w:pPr>
      <w:r w:rsidRPr="009B2CA6">
        <w:rPr>
          <w:rFonts w:ascii="Verdana" w:hAnsi="Verdana" w:cs="Times New Roman"/>
          <w:sz w:val="20"/>
          <w:szCs w:val="20"/>
        </w:rPr>
        <w:t>E</w:t>
      </w:r>
      <w:r w:rsidR="00546AE7" w:rsidRPr="009B2CA6">
        <w:rPr>
          <w:rFonts w:ascii="Verdana" w:hAnsi="Verdana" w:cs="Times New Roman"/>
          <w:sz w:val="20"/>
          <w:szCs w:val="20"/>
        </w:rPr>
        <w:t>l CIADI es</w:t>
      </w:r>
      <w:r w:rsidR="00907455" w:rsidRPr="009B2CA6">
        <w:rPr>
          <w:rFonts w:ascii="Verdana" w:hAnsi="Verdana" w:cs="Times New Roman"/>
          <w:sz w:val="20"/>
          <w:szCs w:val="20"/>
        </w:rPr>
        <w:t>tá</w:t>
      </w:r>
      <w:r w:rsidR="00546AE7" w:rsidRPr="009B2CA6">
        <w:rPr>
          <w:rFonts w:ascii="Verdana" w:hAnsi="Verdana" w:cs="Times New Roman"/>
          <w:sz w:val="20"/>
          <w:szCs w:val="20"/>
        </w:rPr>
        <w:t xml:space="preserve"> obli</w:t>
      </w:r>
      <w:r w:rsidR="0006397C" w:rsidRPr="009B2CA6">
        <w:rPr>
          <w:rFonts w:ascii="Verdana" w:hAnsi="Verdana" w:cs="Times New Roman"/>
          <w:sz w:val="20"/>
          <w:szCs w:val="20"/>
        </w:rPr>
        <w:t>gado a proporcionar al público</w:t>
      </w:r>
      <w:r w:rsidR="00A51268" w:rsidRPr="009B2CA6">
        <w:rPr>
          <w:rFonts w:ascii="Verdana" w:hAnsi="Verdana" w:cs="Times New Roman"/>
          <w:sz w:val="20"/>
          <w:szCs w:val="20"/>
        </w:rPr>
        <w:t>,</w:t>
      </w:r>
      <w:r w:rsidR="0006397C" w:rsidRPr="009B2CA6">
        <w:rPr>
          <w:rFonts w:ascii="Verdana" w:hAnsi="Verdana" w:cs="Times New Roman"/>
          <w:sz w:val="20"/>
          <w:szCs w:val="20"/>
        </w:rPr>
        <w:t xml:space="preserve"> </w:t>
      </w:r>
      <w:r w:rsidR="00A51268" w:rsidRPr="009B2CA6">
        <w:rPr>
          <w:rFonts w:ascii="Verdana" w:hAnsi="Verdana" w:cs="Times New Roman"/>
          <w:sz w:val="20"/>
          <w:szCs w:val="20"/>
        </w:rPr>
        <w:t xml:space="preserve">únicamente, </w:t>
      </w:r>
      <w:r w:rsidR="00546AE7" w:rsidRPr="009B2CA6">
        <w:rPr>
          <w:rFonts w:ascii="Verdana" w:hAnsi="Verdana" w:cs="Times New Roman"/>
          <w:sz w:val="20"/>
          <w:szCs w:val="20"/>
        </w:rPr>
        <w:t>extractos del razona</w:t>
      </w:r>
      <w:r w:rsidR="007E111E" w:rsidRPr="009B2CA6">
        <w:rPr>
          <w:rFonts w:ascii="Verdana" w:hAnsi="Verdana" w:cs="Times New Roman"/>
          <w:sz w:val="20"/>
          <w:szCs w:val="20"/>
        </w:rPr>
        <w:t>miento jurídico del Tribunal</w:t>
      </w:r>
      <w:r w:rsidR="00E7728F" w:rsidRPr="009B2CA6">
        <w:rPr>
          <w:rFonts w:ascii="Verdana" w:hAnsi="Verdana" w:cs="Times New Roman"/>
          <w:sz w:val="20"/>
          <w:szCs w:val="20"/>
        </w:rPr>
        <w:t>, tal y como lo establece su R</w:t>
      </w:r>
      <w:r w:rsidR="00134AA9" w:rsidRPr="009B2CA6">
        <w:rPr>
          <w:rFonts w:ascii="Verdana" w:hAnsi="Verdana" w:cs="Times New Roman"/>
          <w:sz w:val="20"/>
          <w:szCs w:val="20"/>
        </w:rPr>
        <w:t>eglamento</w:t>
      </w:r>
      <w:r w:rsidRPr="009B2CA6">
        <w:rPr>
          <w:rFonts w:ascii="Verdana" w:hAnsi="Verdana" w:cs="Times New Roman"/>
          <w:sz w:val="20"/>
          <w:szCs w:val="20"/>
        </w:rPr>
        <w:t xml:space="preserve">. </w:t>
      </w:r>
      <w:r w:rsidR="00DC3D82" w:rsidRPr="009B2CA6">
        <w:rPr>
          <w:rFonts w:ascii="Verdana" w:hAnsi="Verdana" w:cs="Times New Roman"/>
          <w:sz w:val="20"/>
          <w:szCs w:val="20"/>
        </w:rPr>
        <w:t>Pero</w:t>
      </w:r>
      <w:r w:rsidR="00546AE7" w:rsidRPr="009B2CA6">
        <w:rPr>
          <w:rFonts w:ascii="Verdana" w:hAnsi="Verdana" w:cs="Times New Roman"/>
          <w:sz w:val="20"/>
          <w:szCs w:val="20"/>
        </w:rPr>
        <w:t xml:space="preserve"> los alegatos presentados por las partes, así como los testimonios de exp</w:t>
      </w:r>
      <w:r w:rsidR="00DC3D82" w:rsidRPr="009B2CA6">
        <w:rPr>
          <w:rFonts w:ascii="Verdana" w:hAnsi="Verdana" w:cs="Times New Roman"/>
          <w:sz w:val="20"/>
          <w:szCs w:val="20"/>
        </w:rPr>
        <w:t xml:space="preserve">ertos y de testigos, en la gran mayoría de las veces </w:t>
      </w:r>
      <w:r w:rsidR="005A16FC" w:rsidRPr="009B2CA6">
        <w:rPr>
          <w:rFonts w:ascii="Verdana" w:hAnsi="Verdana" w:cs="Times New Roman"/>
          <w:sz w:val="20"/>
          <w:szCs w:val="20"/>
        </w:rPr>
        <w:t>siguen</w:t>
      </w:r>
      <w:r w:rsidR="00DC3D82" w:rsidRPr="009B2CA6">
        <w:rPr>
          <w:rFonts w:ascii="Verdana" w:hAnsi="Verdana" w:cs="Times New Roman"/>
          <w:sz w:val="20"/>
          <w:szCs w:val="20"/>
        </w:rPr>
        <w:t xml:space="preserve"> siendo</w:t>
      </w:r>
      <w:r w:rsidR="007E111E" w:rsidRPr="009B2CA6">
        <w:rPr>
          <w:rFonts w:ascii="Verdana" w:hAnsi="Verdana" w:cs="Times New Roman"/>
          <w:sz w:val="20"/>
          <w:szCs w:val="20"/>
        </w:rPr>
        <w:t xml:space="preserve"> </w:t>
      </w:r>
      <w:r w:rsidR="005A16FC" w:rsidRPr="009B2CA6">
        <w:rPr>
          <w:rFonts w:ascii="Verdana" w:hAnsi="Verdana" w:cs="Times New Roman"/>
          <w:sz w:val="20"/>
          <w:szCs w:val="20"/>
        </w:rPr>
        <w:t>confidenciales</w:t>
      </w:r>
      <w:r w:rsidR="007E111E" w:rsidRPr="009B2CA6">
        <w:rPr>
          <w:rStyle w:val="Refdenotaalpie"/>
          <w:rFonts w:ascii="Verdana" w:hAnsi="Verdana" w:cs="Times New Roman"/>
          <w:sz w:val="20"/>
          <w:szCs w:val="20"/>
        </w:rPr>
        <w:footnoteReference w:id="19"/>
      </w:r>
      <w:r w:rsidR="00C96B02" w:rsidRPr="009B2CA6">
        <w:rPr>
          <w:rFonts w:ascii="Verdana" w:hAnsi="Verdana" w:cs="Times New Roman"/>
          <w:sz w:val="20"/>
          <w:szCs w:val="20"/>
        </w:rPr>
        <w:t>.</w:t>
      </w:r>
      <w:r w:rsidR="00D044E7" w:rsidRPr="009B2CA6">
        <w:rPr>
          <w:rFonts w:ascii="Verdana" w:hAnsi="Verdana" w:cs="Times New Roman"/>
          <w:sz w:val="20"/>
          <w:szCs w:val="20"/>
        </w:rPr>
        <w:t xml:space="preserve"> </w:t>
      </w:r>
      <w:r w:rsidR="00C96B02" w:rsidRPr="009B2CA6">
        <w:rPr>
          <w:rFonts w:ascii="Verdana" w:hAnsi="Verdana" w:cs="Times New Roman"/>
          <w:sz w:val="20"/>
          <w:szCs w:val="20"/>
        </w:rPr>
        <w:t>D</w:t>
      </w:r>
      <w:r w:rsidR="00D044E7" w:rsidRPr="009B2CA6">
        <w:rPr>
          <w:rFonts w:ascii="Verdana" w:hAnsi="Verdana" w:cs="Times New Roman"/>
          <w:sz w:val="20"/>
          <w:szCs w:val="20"/>
        </w:rPr>
        <w:t xml:space="preserve">e hecho, </w:t>
      </w:r>
      <w:r w:rsidR="00546AE7" w:rsidRPr="009B2CA6">
        <w:rPr>
          <w:rFonts w:ascii="Verdana" w:hAnsi="Verdana" w:cs="Times New Roman"/>
          <w:sz w:val="20"/>
          <w:szCs w:val="20"/>
        </w:rPr>
        <w:t xml:space="preserve">la mayoría de los laudos del CIADI </w:t>
      </w:r>
      <w:r w:rsidR="00F63307" w:rsidRPr="009B2CA6">
        <w:rPr>
          <w:rFonts w:ascii="Verdana" w:hAnsi="Verdana" w:cs="Times New Roman"/>
          <w:sz w:val="20"/>
          <w:szCs w:val="20"/>
        </w:rPr>
        <w:t xml:space="preserve">no </w:t>
      </w:r>
      <w:r w:rsidR="00D61E3E" w:rsidRPr="009B2CA6">
        <w:rPr>
          <w:rFonts w:ascii="Verdana" w:hAnsi="Verdana" w:cs="Times New Roman"/>
          <w:sz w:val="20"/>
          <w:szCs w:val="20"/>
        </w:rPr>
        <w:t>se publican</w:t>
      </w:r>
      <w:r w:rsidR="00546AE7" w:rsidRPr="009B2CA6">
        <w:rPr>
          <w:rFonts w:ascii="Verdana" w:hAnsi="Verdana" w:cs="Times New Roman"/>
          <w:sz w:val="20"/>
          <w:szCs w:val="20"/>
        </w:rPr>
        <w:t>.</w:t>
      </w:r>
      <w:r w:rsidR="00BF12DA" w:rsidRPr="009B2CA6">
        <w:rPr>
          <w:rFonts w:ascii="Verdana" w:hAnsi="Verdana" w:cs="Times New Roman"/>
          <w:sz w:val="20"/>
          <w:szCs w:val="20"/>
        </w:rPr>
        <w:t xml:space="preserve"> </w:t>
      </w:r>
      <w:r w:rsidR="00C96B02" w:rsidRPr="009B2CA6">
        <w:rPr>
          <w:rFonts w:ascii="Verdana" w:hAnsi="Verdana" w:cs="Times New Roman"/>
          <w:sz w:val="20"/>
          <w:szCs w:val="20"/>
        </w:rPr>
        <w:t>Por ello</w:t>
      </w:r>
      <w:r w:rsidR="00247E8F" w:rsidRPr="009B2CA6">
        <w:rPr>
          <w:rFonts w:ascii="Verdana" w:hAnsi="Verdana" w:cs="Times New Roman"/>
          <w:sz w:val="20"/>
          <w:szCs w:val="20"/>
        </w:rPr>
        <w:t>, si</w:t>
      </w:r>
      <w:r w:rsidR="00880BEA" w:rsidRPr="009B2CA6">
        <w:rPr>
          <w:rFonts w:ascii="Verdana" w:hAnsi="Verdana" w:cs="Times New Roman"/>
          <w:sz w:val="20"/>
          <w:szCs w:val="20"/>
        </w:rPr>
        <w:t xml:space="preserve"> bien podemos apreciar un paso de avance del CIADI respecto a la transparencia, creemos que las modificaciones introducidas en su</w:t>
      </w:r>
      <w:r w:rsidR="00383FC0" w:rsidRPr="009B2CA6">
        <w:rPr>
          <w:rFonts w:ascii="Verdana" w:hAnsi="Verdana" w:cs="Times New Roman"/>
          <w:sz w:val="20"/>
          <w:szCs w:val="20"/>
        </w:rPr>
        <w:t>s respectivas</w:t>
      </w:r>
      <w:r w:rsidR="00880BEA" w:rsidRPr="009B2CA6">
        <w:rPr>
          <w:rFonts w:ascii="Verdana" w:hAnsi="Verdana" w:cs="Times New Roman"/>
          <w:sz w:val="20"/>
          <w:szCs w:val="20"/>
        </w:rPr>
        <w:t xml:space="preserve"> Regla</w:t>
      </w:r>
      <w:r w:rsidR="00383FC0" w:rsidRPr="009B2CA6">
        <w:rPr>
          <w:rFonts w:ascii="Verdana" w:hAnsi="Verdana" w:cs="Times New Roman"/>
          <w:sz w:val="20"/>
          <w:szCs w:val="20"/>
        </w:rPr>
        <w:t>s</w:t>
      </w:r>
      <w:r w:rsidR="00EC2915" w:rsidRPr="009B2CA6">
        <w:rPr>
          <w:rFonts w:ascii="Verdana" w:hAnsi="Verdana" w:cs="Times New Roman"/>
          <w:sz w:val="20"/>
          <w:szCs w:val="20"/>
        </w:rPr>
        <w:t xml:space="preserve"> no son suficientes,</w:t>
      </w:r>
      <w:r w:rsidR="00880BEA" w:rsidRPr="009B2CA6">
        <w:rPr>
          <w:rFonts w:ascii="Verdana" w:hAnsi="Verdana" w:cs="Times New Roman"/>
          <w:sz w:val="20"/>
          <w:szCs w:val="20"/>
        </w:rPr>
        <w:t xml:space="preserve"> persisten rasgos de </w:t>
      </w:r>
      <w:r w:rsidR="00BF12DA" w:rsidRPr="009B2CA6">
        <w:rPr>
          <w:rFonts w:ascii="Verdana" w:hAnsi="Verdana" w:cs="Times New Roman"/>
          <w:sz w:val="20"/>
          <w:szCs w:val="20"/>
        </w:rPr>
        <w:t xml:space="preserve">debilidad de la institución respecto a las normas de transparencia </w:t>
      </w:r>
      <w:r w:rsidR="00880BEA" w:rsidRPr="009B2CA6">
        <w:rPr>
          <w:rFonts w:ascii="Verdana" w:hAnsi="Verdana" w:cs="Times New Roman"/>
          <w:sz w:val="20"/>
          <w:szCs w:val="20"/>
        </w:rPr>
        <w:t xml:space="preserve">en el procedimiento arbitral, encontrándose muy distante de las normas </w:t>
      </w:r>
      <w:r w:rsidR="00C7151D">
        <w:rPr>
          <w:rFonts w:ascii="Verdana" w:hAnsi="Verdana" w:cs="Times New Roman"/>
          <w:sz w:val="20"/>
          <w:szCs w:val="20"/>
        </w:rPr>
        <w:t xml:space="preserve">sobre la transparencia </w:t>
      </w:r>
      <w:r w:rsidR="00880BEA" w:rsidRPr="009B2CA6">
        <w:rPr>
          <w:rFonts w:ascii="Verdana" w:hAnsi="Verdana" w:cs="Times New Roman"/>
          <w:sz w:val="20"/>
          <w:szCs w:val="20"/>
        </w:rPr>
        <w:t>establecidas en el propio TLCAN.</w:t>
      </w:r>
      <w:r w:rsidR="00880BEA" w:rsidRPr="009B2CA6">
        <w:rPr>
          <w:rFonts w:ascii="Verdana" w:hAnsi="Verdana" w:cs="Times New Roman"/>
          <w:sz w:val="20"/>
          <w:szCs w:val="20"/>
          <w:highlight w:val="yellow"/>
        </w:rPr>
        <w:t xml:space="preserve"> </w:t>
      </w:r>
    </w:p>
    <w:p w:rsidR="00F27DB7" w:rsidRPr="009B2CA6" w:rsidRDefault="00161C6C"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Por otra parte, la reforma del CIADI de</w:t>
      </w:r>
      <w:r w:rsidR="005A16FC" w:rsidRPr="009B2CA6">
        <w:rPr>
          <w:rFonts w:ascii="Verdana" w:hAnsi="Verdana" w:cs="Times New Roman"/>
          <w:sz w:val="20"/>
          <w:szCs w:val="20"/>
        </w:rPr>
        <w:t>l año</w:t>
      </w:r>
      <w:r w:rsidRPr="009B2CA6">
        <w:rPr>
          <w:rFonts w:ascii="Verdana" w:hAnsi="Verdana" w:cs="Times New Roman"/>
          <w:sz w:val="20"/>
          <w:szCs w:val="20"/>
        </w:rPr>
        <w:t xml:space="preserve"> 2006 permitió expresamente la presentación de escritos de </w:t>
      </w:r>
      <w:r w:rsidRPr="009B2CA6">
        <w:rPr>
          <w:rFonts w:ascii="Verdana" w:hAnsi="Verdana" w:cs="Times New Roman"/>
          <w:i/>
          <w:sz w:val="20"/>
          <w:szCs w:val="20"/>
        </w:rPr>
        <w:t>amicus</w:t>
      </w:r>
      <w:r w:rsidR="00D61E3E" w:rsidRPr="009B2CA6">
        <w:rPr>
          <w:rFonts w:ascii="Verdana" w:hAnsi="Verdana" w:cs="Times New Roman"/>
          <w:i/>
          <w:sz w:val="20"/>
          <w:szCs w:val="20"/>
        </w:rPr>
        <w:t xml:space="preserve"> curiae</w:t>
      </w:r>
      <w:r w:rsidR="003F482A" w:rsidRPr="009B2CA6">
        <w:rPr>
          <w:rFonts w:ascii="Verdana" w:hAnsi="Verdana" w:cs="Times New Roman"/>
          <w:sz w:val="20"/>
          <w:szCs w:val="20"/>
        </w:rPr>
        <w:t>. La Regla 37</w:t>
      </w:r>
      <w:r w:rsidR="00766464" w:rsidRPr="009B2CA6">
        <w:rPr>
          <w:rFonts w:ascii="Verdana" w:hAnsi="Verdana" w:cs="Times New Roman"/>
          <w:sz w:val="20"/>
          <w:szCs w:val="20"/>
        </w:rPr>
        <w:t xml:space="preserve">(2) </w:t>
      </w:r>
      <w:r w:rsidRPr="009B2CA6">
        <w:rPr>
          <w:rFonts w:ascii="Verdana" w:hAnsi="Verdana" w:cs="Times New Roman"/>
          <w:sz w:val="20"/>
          <w:szCs w:val="20"/>
        </w:rPr>
        <w:t xml:space="preserve">del </w:t>
      </w:r>
      <w:r w:rsidR="003F482A" w:rsidRPr="009B2CA6">
        <w:rPr>
          <w:rFonts w:ascii="Verdana" w:hAnsi="Verdana" w:cs="Times New Roman"/>
          <w:sz w:val="20"/>
          <w:szCs w:val="20"/>
        </w:rPr>
        <w:t>Reglamento de Arbitraje del</w:t>
      </w:r>
      <w:r w:rsidRPr="009B2CA6">
        <w:rPr>
          <w:rFonts w:ascii="Verdana" w:hAnsi="Verdana" w:cs="Times New Roman"/>
          <w:sz w:val="20"/>
          <w:szCs w:val="20"/>
        </w:rPr>
        <w:t xml:space="preserve"> CIADI ha sido interpretada por los tribunal</w:t>
      </w:r>
      <w:r w:rsidR="00BF5BDD" w:rsidRPr="009B2CA6">
        <w:rPr>
          <w:rFonts w:ascii="Verdana" w:hAnsi="Verdana" w:cs="Times New Roman"/>
          <w:sz w:val="20"/>
          <w:szCs w:val="20"/>
        </w:rPr>
        <w:t>es para indicar que un tercero,</w:t>
      </w:r>
      <w:r w:rsidR="0006397C" w:rsidRPr="009B2CA6">
        <w:rPr>
          <w:rFonts w:ascii="Verdana" w:hAnsi="Verdana" w:cs="Times New Roman"/>
          <w:sz w:val="20"/>
          <w:szCs w:val="20"/>
        </w:rPr>
        <w:t xml:space="preserve"> </w:t>
      </w:r>
      <w:r w:rsidRPr="009B2CA6">
        <w:rPr>
          <w:rFonts w:ascii="Verdana" w:hAnsi="Verdana" w:cs="Times New Roman"/>
          <w:sz w:val="20"/>
          <w:szCs w:val="20"/>
        </w:rPr>
        <w:t xml:space="preserve">por </w:t>
      </w:r>
      <w:r w:rsidR="00053FB3" w:rsidRPr="009B2CA6">
        <w:rPr>
          <w:rFonts w:ascii="Verdana" w:hAnsi="Verdana" w:cs="Times New Roman"/>
          <w:sz w:val="20"/>
          <w:szCs w:val="20"/>
        </w:rPr>
        <w:t>ejemplo,</w:t>
      </w:r>
      <w:r w:rsidR="0006397C" w:rsidRPr="009B2CA6">
        <w:rPr>
          <w:rFonts w:ascii="Verdana" w:hAnsi="Verdana" w:cs="Times New Roman"/>
          <w:sz w:val="20"/>
          <w:szCs w:val="20"/>
        </w:rPr>
        <w:t xml:space="preserve"> una ONG interesada,</w:t>
      </w:r>
      <w:r w:rsidR="0044282D" w:rsidRPr="009B2CA6">
        <w:rPr>
          <w:rFonts w:ascii="Verdana" w:hAnsi="Verdana" w:cs="Times New Roman"/>
          <w:sz w:val="20"/>
          <w:szCs w:val="20"/>
        </w:rPr>
        <w:t xml:space="preserve"> debe solicitar</w:t>
      </w:r>
      <w:r w:rsidRPr="009B2CA6">
        <w:rPr>
          <w:rFonts w:ascii="Verdana" w:hAnsi="Verdana" w:cs="Times New Roman"/>
          <w:sz w:val="20"/>
          <w:szCs w:val="20"/>
        </w:rPr>
        <w:t xml:space="preserve"> </w:t>
      </w:r>
      <w:r w:rsidR="0044282D" w:rsidRPr="009B2CA6">
        <w:rPr>
          <w:rFonts w:ascii="Verdana" w:hAnsi="Verdana" w:cs="Times New Roman"/>
          <w:sz w:val="20"/>
          <w:szCs w:val="20"/>
        </w:rPr>
        <w:t>autorización</w:t>
      </w:r>
      <w:r w:rsidRPr="009B2CA6">
        <w:rPr>
          <w:rFonts w:ascii="Verdana" w:hAnsi="Verdana" w:cs="Times New Roman"/>
          <w:sz w:val="20"/>
          <w:szCs w:val="20"/>
        </w:rPr>
        <w:t xml:space="preserve"> al tribunal para presentar declaracione</w:t>
      </w:r>
      <w:r w:rsidR="0006397C" w:rsidRPr="009B2CA6">
        <w:rPr>
          <w:rFonts w:ascii="Verdana" w:hAnsi="Verdana" w:cs="Times New Roman"/>
          <w:sz w:val="20"/>
          <w:szCs w:val="20"/>
        </w:rPr>
        <w:t xml:space="preserve">s escritas para que éste las </w:t>
      </w:r>
      <w:r w:rsidRPr="009B2CA6">
        <w:rPr>
          <w:rFonts w:ascii="Verdana" w:hAnsi="Verdana" w:cs="Times New Roman"/>
          <w:sz w:val="20"/>
          <w:szCs w:val="20"/>
        </w:rPr>
        <w:t>considere. El tribunal decide des</w:t>
      </w:r>
      <w:r w:rsidR="00860B4D" w:rsidRPr="009B2CA6">
        <w:rPr>
          <w:rFonts w:ascii="Verdana" w:hAnsi="Verdana" w:cs="Times New Roman"/>
          <w:sz w:val="20"/>
          <w:szCs w:val="20"/>
        </w:rPr>
        <w:t>pu</w:t>
      </w:r>
      <w:r w:rsidR="002B044B" w:rsidRPr="009B2CA6">
        <w:rPr>
          <w:rFonts w:ascii="Verdana" w:hAnsi="Verdana" w:cs="Times New Roman"/>
          <w:sz w:val="20"/>
          <w:szCs w:val="20"/>
        </w:rPr>
        <w:t xml:space="preserve">és de consultar a las partes, </w:t>
      </w:r>
      <w:r w:rsidR="00860B4D" w:rsidRPr="009B2CA6">
        <w:rPr>
          <w:rFonts w:ascii="Verdana" w:hAnsi="Verdana" w:cs="Times New Roman"/>
          <w:sz w:val="20"/>
          <w:szCs w:val="20"/>
        </w:rPr>
        <w:t>pero</w:t>
      </w:r>
      <w:r w:rsidRPr="009B2CA6">
        <w:rPr>
          <w:rFonts w:ascii="Verdana" w:hAnsi="Verdana" w:cs="Times New Roman"/>
          <w:sz w:val="20"/>
          <w:szCs w:val="20"/>
        </w:rPr>
        <w:t xml:space="preserve"> tiene el poder de admitir presentaciones de terceros</w:t>
      </w:r>
      <w:r w:rsidR="00D61E3E" w:rsidRPr="009B2CA6">
        <w:rPr>
          <w:rFonts w:ascii="Verdana" w:hAnsi="Verdana" w:cs="Times New Roman"/>
          <w:sz w:val="20"/>
          <w:szCs w:val="20"/>
        </w:rPr>
        <w:t>,</w:t>
      </w:r>
      <w:r w:rsidRPr="009B2CA6">
        <w:rPr>
          <w:rFonts w:ascii="Verdana" w:hAnsi="Verdana" w:cs="Times New Roman"/>
          <w:sz w:val="20"/>
          <w:szCs w:val="20"/>
        </w:rPr>
        <w:t xml:space="preserve"> incluso si una parte en la controversia objeta</w:t>
      </w:r>
      <w:r w:rsidR="002A5638" w:rsidRPr="009B2CA6">
        <w:rPr>
          <w:rFonts w:ascii="Verdana" w:hAnsi="Verdana" w:cs="Times New Roman"/>
          <w:sz w:val="20"/>
          <w:szCs w:val="20"/>
        </w:rPr>
        <w:t>. Sin embargo, según la Regla</w:t>
      </w:r>
      <w:r w:rsidR="003F482A" w:rsidRPr="009B2CA6">
        <w:rPr>
          <w:rFonts w:ascii="Verdana" w:hAnsi="Verdana" w:cs="Times New Roman"/>
          <w:sz w:val="20"/>
          <w:szCs w:val="20"/>
        </w:rPr>
        <w:t xml:space="preserve"> 32</w:t>
      </w:r>
      <w:r w:rsidRPr="009B2CA6">
        <w:rPr>
          <w:rFonts w:ascii="Verdana" w:hAnsi="Verdana" w:cs="Times New Roman"/>
          <w:sz w:val="20"/>
          <w:szCs w:val="20"/>
        </w:rPr>
        <w:t>(2)</w:t>
      </w:r>
      <w:r w:rsidR="003F482A" w:rsidRPr="009B2CA6">
        <w:rPr>
          <w:rFonts w:ascii="Verdana" w:hAnsi="Verdana" w:cs="Times New Roman"/>
          <w:sz w:val="20"/>
          <w:szCs w:val="20"/>
        </w:rPr>
        <w:t xml:space="preserve"> del propio Reglamento</w:t>
      </w:r>
      <w:r w:rsidR="002A5638" w:rsidRPr="009B2CA6">
        <w:rPr>
          <w:rFonts w:ascii="Verdana" w:hAnsi="Verdana" w:cs="Times New Roman"/>
          <w:sz w:val="20"/>
          <w:szCs w:val="20"/>
        </w:rPr>
        <w:t xml:space="preserve">, </w:t>
      </w:r>
      <w:r w:rsidRPr="009B2CA6">
        <w:rPr>
          <w:rFonts w:ascii="Verdana" w:hAnsi="Verdana" w:cs="Times New Roman"/>
          <w:sz w:val="20"/>
          <w:szCs w:val="20"/>
        </w:rPr>
        <w:t xml:space="preserve">el permiso para presentar un escrito de </w:t>
      </w:r>
      <w:r w:rsidRPr="009B2CA6">
        <w:rPr>
          <w:rFonts w:ascii="Verdana" w:hAnsi="Verdana" w:cs="Times New Roman"/>
          <w:i/>
          <w:sz w:val="20"/>
          <w:szCs w:val="20"/>
        </w:rPr>
        <w:t>amicus</w:t>
      </w:r>
      <w:r w:rsidRPr="009B2CA6">
        <w:rPr>
          <w:rFonts w:ascii="Verdana" w:hAnsi="Verdana" w:cs="Times New Roman"/>
          <w:sz w:val="20"/>
          <w:szCs w:val="20"/>
        </w:rPr>
        <w:t xml:space="preserve"> no implic</w:t>
      </w:r>
      <w:r w:rsidR="009752F1" w:rsidRPr="009B2CA6">
        <w:rPr>
          <w:rFonts w:ascii="Verdana" w:hAnsi="Verdana" w:cs="Times New Roman"/>
          <w:sz w:val="20"/>
          <w:szCs w:val="20"/>
        </w:rPr>
        <w:t>a que el tercero tenga derecho</w:t>
      </w:r>
      <w:r w:rsidRPr="009B2CA6">
        <w:rPr>
          <w:rFonts w:ascii="Verdana" w:hAnsi="Verdana" w:cs="Times New Roman"/>
          <w:sz w:val="20"/>
          <w:szCs w:val="20"/>
        </w:rPr>
        <w:t xml:space="preserve"> </w:t>
      </w:r>
      <w:r w:rsidR="003F482A" w:rsidRPr="009B2CA6">
        <w:rPr>
          <w:rFonts w:ascii="Verdana" w:hAnsi="Verdana" w:cs="Times New Roman"/>
          <w:sz w:val="20"/>
          <w:szCs w:val="20"/>
        </w:rPr>
        <w:t xml:space="preserve">a </w:t>
      </w:r>
      <w:r w:rsidRPr="009B2CA6">
        <w:rPr>
          <w:rFonts w:ascii="Verdana" w:hAnsi="Verdana" w:cs="Times New Roman"/>
          <w:sz w:val="20"/>
          <w:szCs w:val="20"/>
        </w:rPr>
        <w:t>asistir a audiencias privadas o acceder a documentos que no son de dominio público</w:t>
      </w:r>
      <w:r w:rsidR="00B34F5A" w:rsidRPr="009B2CA6">
        <w:rPr>
          <w:rStyle w:val="Refdenotaalpie"/>
          <w:rFonts w:ascii="Verdana" w:hAnsi="Verdana" w:cs="Times New Roman"/>
          <w:sz w:val="20"/>
          <w:szCs w:val="20"/>
        </w:rPr>
        <w:footnoteReference w:id="20"/>
      </w:r>
      <w:r w:rsidR="0064441D" w:rsidRPr="009B2CA6">
        <w:rPr>
          <w:rFonts w:ascii="Verdana" w:hAnsi="Verdana" w:cs="Times New Roman"/>
          <w:sz w:val="20"/>
          <w:szCs w:val="20"/>
        </w:rPr>
        <w:t xml:space="preserve">, siendo ésta una dificultad en el enfoque adoptado por el CIADI, ya </w:t>
      </w:r>
      <w:r w:rsidR="0064441D" w:rsidRPr="009B2CA6">
        <w:rPr>
          <w:rFonts w:ascii="Verdana" w:hAnsi="Verdana" w:cs="Times New Roman"/>
          <w:sz w:val="20"/>
          <w:szCs w:val="20"/>
        </w:rPr>
        <w:lastRenderedPageBreak/>
        <w:t xml:space="preserve">que los beneficios en la presentación de </w:t>
      </w:r>
      <w:r w:rsidR="0064441D" w:rsidRPr="009B2CA6">
        <w:rPr>
          <w:rFonts w:ascii="Verdana" w:hAnsi="Verdana" w:cs="Times New Roman"/>
          <w:i/>
          <w:sz w:val="20"/>
          <w:szCs w:val="20"/>
        </w:rPr>
        <w:t>amicus</w:t>
      </w:r>
      <w:r w:rsidR="00321965" w:rsidRPr="009B2CA6">
        <w:rPr>
          <w:rFonts w:ascii="Verdana" w:hAnsi="Verdana" w:cs="Times New Roman"/>
          <w:sz w:val="20"/>
          <w:szCs w:val="20"/>
        </w:rPr>
        <w:t xml:space="preserve"> hubiesen sido</w:t>
      </w:r>
      <w:r w:rsidR="003F482A" w:rsidRPr="009B2CA6">
        <w:rPr>
          <w:rFonts w:ascii="Verdana" w:hAnsi="Verdana" w:cs="Times New Roman"/>
          <w:sz w:val="20"/>
          <w:szCs w:val="20"/>
        </w:rPr>
        <w:t xml:space="preserve"> mayor</w:t>
      </w:r>
      <w:r w:rsidR="00321965" w:rsidRPr="009B2CA6">
        <w:rPr>
          <w:rFonts w:ascii="Verdana" w:hAnsi="Verdana" w:cs="Times New Roman"/>
          <w:sz w:val="20"/>
          <w:szCs w:val="20"/>
        </w:rPr>
        <w:t>es</w:t>
      </w:r>
      <w:r w:rsidR="0064441D" w:rsidRPr="009B2CA6">
        <w:rPr>
          <w:rFonts w:ascii="Verdana" w:hAnsi="Verdana" w:cs="Times New Roman"/>
          <w:sz w:val="20"/>
          <w:szCs w:val="20"/>
        </w:rPr>
        <w:t xml:space="preserve"> si éstos, dígase los terc</w:t>
      </w:r>
      <w:r w:rsidR="00321965" w:rsidRPr="009B2CA6">
        <w:rPr>
          <w:rFonts w:ascii="Verdana" w:hAnsi="Verdana" w:cs="Times New Roman"/>
          <w:sz w:val="20"/>
          <w:szCs w:val="20"/>
        </w:rPr>
        <w:t>eros, pudieran tener acceso a toda la</w:t>
      </w:r>
      <w:r w:rsidR="0064441D" w:rsidRPr="009B2CA6">
        <w:rPr>
          <w:rFonts w:ascii="Verdana" w:hAnsi="Verdana" w:cs="Times New Roman"/>
          <w:sz w:val="20"/>
          <w:szCs w:val="20"/>
        </w:rPr>
        <w:t xml:space="preserve"> documentación </w:t>
      </w:r>
      <w:r w:rsidR="004B2212" w:rsidRPr="009B2CA6">
        <w:rPr>
          <w:rFonts w:ascii="Verdana" w:hAnsi="Verdana" w:cs="Times New Roman"/>
          <w:sz w:val="20"/>
          <w:szCs w:val="20"/>
        </w:rPr>
        <w:t>de</w:t>
      </w:r>
      <w:r w:rsidR="0064441D" w:rsidRPr="009B2CA6">
        <w:rPr>
          <w:rFonts w:ascii="Verdana" w:hAnsi="Verdana" w:cs="Times New Roman"/>
          <w:sz w:val="20"/>
          <w:szCs w:val="20"/>
        </w:rPr>
        <w:t xml:space="preserve"> la disputa. </w:t>
      </w:r>
    </w:p>
    <w:p w:rsidR="00B33C97" w:rsidRPr="009B2CA6" w:rsidRDefault="009752F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En consecuencia, los tribunales </w:t>
      </w:r>
      <w:r w:rsidR="00F27DB7" w:rsidRPr="009B2CA6">
        <w:rPr>
          <w:rFonts w:ascii="Verdana" w:hAnsi="Verdana" w:cs="Times New Roman"/>
          <w:sz w:val="20"/>
          <w:szCs w:val="20"/>
        </w:rPr>
        <w:t>arbitrales</w:t>
      </w:r>
      <w:r w:rsidR="00D91306" w:rsidRPr="009B2CA6">
        <w:rPr>
          <w:rFonts w:ascii="Verdana" w:hAnsi="Verdana" w:cs="Times New Roman"/>
          <w:sz w:val="20"/>
          <w:szCs w:val="20"/>
        </w:rPr>
        <w:t xml:space="preserve"> hoy en día</w:t>
      </w:r>
      <w:r w:rsidR="00F27DB7" w:rsidRPr="009B2CA6">
        <w:rPr>
          <w:rFonts w:ascii="Verdana" w:hAnsi="Verdana" w:cs="Times New Roman"/>
          <w:sz w:val="20"/>
          <w:szCs w:val="20"/>
        </w:rPr>
        <w:t xml:space="preserve">, </w:t>
      </w:r>
      <w:r w:rsidRPr="009B2CA6">
        <w:rPr>
          <w:rFonts w:ascii="Verdana" w:hAnsi="Verdana" w:cs="Times New Roman"/>
          <w:sz w:val="20"/>
          <w:szCs w:val="20"/>
        </w:rPr>
        <w:t xml:space="preserve">careciendo de un </w:t>
      </w:r>
      <w:r w:rsidR="00F27DB7" w:rsidRPr="009B2CA6">
        <w:rPr>
          <w:rFonts w:ascii="Verdana" w:hAnsi="Verdana" w:cs="Times New Roman"/>
          <w:sz w:val="20"/>
          <w:szCs w:val="20"/>
        </w:rPr>
        <w:t>marc</w:t>
      </w:r>
      <w:r w:rsidR="00EC2915" w:rsidRPr="009B2CA6">
        <w:rPr>
          <w:rFonts w:ascii="Verdana" w:hAnsi="Verdana" w:cs="Times New Roman"/>
          <w:sz w:val="20"/>
          <w:szCs w:val="20"/>
        </w:rPr>
        <w:t>o regulador de la transparencia</w:t>
      </w:r>
      <w:r w:rsidR="00F27DB7" w:rsidRPr="009B2CA6">
        <w:rPr>
          <w:rFonts w:ascii="Verdana" w:hAnsi="Verdana" w:cs="Times New Roman"/>
          <w:sz w:val="20"/>
          <w:szCs w:val="20"/>
        </w:rPr>
        <w:t xml:space="preserve"> sólido, consistente, que les permita una mayor transparencia del procedimiento </w:t>
      </w:r>
      <w:r w:rsidRPr="009B2CA6">
        <w:rPr>
          <w:rFonts w:ascii="Verdana" w:hAnsi="Verdana" w:cs="Times New Roman"/>
          <w:sz w:val="20"/>
          <w:szCs w:val="20"/>
        </w:rPr>
        <w:t>deben</w:t>
      </w:r>
      <w:r w:rsidR="00F27DB7" w:rsidRPr="009B2CA6">
        <w:rPr>
          <w:rFonts w:ascii="Verdana" w:hAnsi="Verdana" w:cs="Times New Roman"/>
          <w:sz w:val="20"/>
          <w:szCs w:val="20"/>
        </w:rPr>
        <w:t>,</w:t>
      </w:r>
      <w:r w:rsidRPr="009B2CA6">
        <w:rPr>
          <w:rFonts w:ascii="Verdana" w:hAnsi="Verdana" w:cs="Times New Roman"/>
          <w:sz w:val="20"/>
          <w:szCs w:val="20"/>
        </w:rPr>
        <w:t xml:space="preserve"> en el actuar de sus facultades</w:t>
      </w:r>
      <w:r w:rsidR="004C1AF1" w:rsidRPr="009B2CA6">
        <w:rPr>
          <w:rFonts w:ascii="Verdana" w:hAnsi="Verdana" w:cs="Times New Roman"/>
          <w:sz w:val="20"/>
          <w:szCs w:val="20"/>
        </w:rPr>
        <w:t>,</w:t>
      </w:r>
      <w:r w:rsidRPr="009B2CA6">
        <w:rPr>
          <w:rFonts w:ascii="Verdana" w:hAnsi="Verdana" w:cs="Times New Roman"/>
          <w:sz w:val="20"/>
          <w:szCs w:val="20"/>
        </w:rPr>
        <w:t xml:space="preserve"> establecer el límite</w:t>
      </w:r>
      <w:r w:rsidR="00F27DB7" w:rsidRPr="009B2CA6">
        <w:rPr>
          <w:rFonts w:ascii="Verdana" w:hAnsi="Verdana" w:cs="Times New Roman"/>
          <w:sz w:val="20"/>
          <w:szCs w:val="20"/>
        </w:rPr>
        <w:t xml:space="preserve"> preciso entre la transparencia y la confidencialidad</w:t>
      </w:r>
      <w:r w:rsidR="00A57FC7" w:rsidRPr="009B2CA6">
        <w:rPr>
          <w:rFonts w:ascii="Verdana" w:hAnsi="Verdana" w:cs="Times New Roman"/>
          <w:sz w:val="20"/>
          <w:szCs w:val="20"/>
        </w:rPr>
        <w:t xml:space="preserve"> -cuestión de extrema complejidad-,</w:t>
      </w:r>
      <w:r w:rsidR="00F27DB7" w:rsidRPr="009B2CA6">
        <w:rPr>
          <w:rFonts w:ascii="Verdana" w:hAnsi="Verdana" w:cs="Times New Roman"/>
          <w:sz w:val="20"/>
          <w:szCs w:val="20"/>
        </w:rPr>
        <w:t xml:space="preserve"> teniendo en cuenta las reglas de arbitraje apl</w:t>
      </w:r>
      <w:r w:rsidR="00E94591" w:rsidRPr="009B2CA6">
        <w:rPr>
          <w:rFonts w:ascii="Verdana" w:hAnsi="Verdana" w:cs="Times New Roman"/>
          <w:sz w:val="20"/>
          <w:szCs w:val="20"/>
        </w:rPr>
        <w:t xml:space="preserve">icables y, especialmente, el </w:t>
      </w:r>
      <w:r w:rsidR="0031195E">
        <w:rPr>
          <w:rFonts w:ascii="Verdana" w:hAnsi="Verdana" w:cs="Times New Roman"/>
          <w:sz w:val="20"/>
          <w:szCs w:val="20"/>
        </w:rPr>
        <w:t>acuerdo de inversión</w:t>
      </w:r>
      <w:r w:rsidRPr="009B2CA6">
        <w:rPr>
          <w:rFonts w:ascii="Verdana" w:hAnsi="Verdana" w:cs="Times New Roman"/>
          <w:sz w:val="20"/>
          <w:szCs w:val="20"/>
        </w:rPr>
        <w:t xml:space="preserve"> </w:t>
      </w:r>
      <w:r w:rsidR="00D951E8" w:rsidRPr="009B2CA6">
        <w:rPr>
          <w:rFonts w:ascii="Verdana" w:hAnsi="Verdana" w:cs="Times New Roman"/>
          <w:sz w:val="20"/>
          <w:szCs w:val="20"/>
        </w:rPr>
        <w:t xml:space="preserve">en el que se basa el litigio. </w:t>
      </w:r>
    </w:p>
    <w:p w:rsidR="009702A9" w:rsidRPr="009B2CA6" w:rsidRDefault="00B33C97"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Eso es precisamente lo que ocurrió </w:t>
      </w:r>
      <w:r w:rsidR="00D951E8" w:rsidRPr="009B2CA6">
        <w:rPr>
          <w:rFonts w:ascii="Verdana" w:hAnsi="Verdana" w:cs="Times New Roman"/>
          <w:sz w:val="20"/>
          <w:szCs w:val="20"/>
        </w:rPr>
        <w:t xml:space="preserve">en el caso </w:t>
      </w:r>
      <w:r w:rsidR="00BF3396">
        <w:rPr>
          <w:rFonts w:ascii="Verdana" w:hAnsi="Verdana" w:cs="Times New Roman"/>
          <w:i/>
          <w:sz w:val="20"/>
          <w:szCs w:val="20"/>
        </w:rPr>
        <w:t>Telefó</w:t>
      </w:r>
      <w:r w:rsidR="00D951E8" w:rsidRPr="009B2CA6">
        <w:rPr>
          <w:rFonts w:ascii="Verdana" w:hAnsi="Verdana" w:cs="Times New Roman"/>
          <w:i/>
          <w:sz w:val="20"/>
          <w:szCs w:val="20"/>
        </w:rPr>
        <w:t>nica S.A. vs. United Mexican States</w:t>
      </w:r>
      <w:r w:rsidR="00316CCC" w:rsidRPr="009B2CA6">
        <w:rPr>
          <w:rStyle w:val="Refdenotaalpie"/>
          <w:rFonts w:ascii="Verdana" w:hAnsi="Verdana" w:cs="Times New Roman"/>
          <w:sz w:val="20"/>
          <w:szCs w:val="20"/>
        </w:rPr>
        <w:footnoteReference w:id="21"/>
      </w:r>
      <w:r w:rsidR="00D951E8" w:rsidRPr="009B2CA6">
        <w:rPr>
          <w:rFonts w:ascii="Verdana" w:hAnsi="Verdana" w:cs="Times New Roman"/>
          <w:sz w:val="20"/>
          <w:szCs w:val="20"/>
        </w:rPr>
        <w:t xml:space="preserve">, en el cual el tribunal tuvo que enfrentarse a un desacuerdo entre las partes respecto a la confidencialidad y </w:t>
      </w:r>
      <w:r w:rsidR="00316CCC" w:rsidRPr="009B2CA6">
        <w:rPr>
          <w:rFonts w:ascii="Verdana" w:hAnsi="Verdana" w:cs="Times New Roman"/>
          <w:sz w:val="20"/>
          <w:szCs w:val="20"/>
        </w:rPr>
        <w:t xml:space="preserve">la </w:t>
      </w:r>
      <w:r w:rsidR="00D951E8" w:rsidRPr="009B2CA6">
        <w:rPr>
          <w:rFonts w:ascii="Verdana" w:hAnsi="Verdana" w:cs="Times New Roman"/>
          <w:sz w:val="20"/>
          <w:szCs w:val="20"/>
        </w:rPr>
        <w:t>transpar</w:t>
      </w:r>
      <w:r w:rsidR="00E94591" w:rsidRPr="009B2CA6">
        <w:rPr>
          <w:rFonts w:ascii="Verdana" w:hAnsi="Verdana" w:cs="Times New Roman"/>
          <w:sz w:val="20"/>
          <w:szCs w:val="20"/>
        </w:rPr>
        <w:t>encia</w:t>
      </w:r>
      <w:r w:rsidR="00BF3396">
        <w:rPr>
          <w:rFonts w:ascii="Verdana" w:hAnsi="Verdana" w:cs="Times New Roman"/>
          <w:sz w:val="20"/>
          <w:szCs w:val="20"/>
        </w:rPr>
        <w:t>. Telefó</w:t>
      </w:r>
      <w:r w:rsidR="00316CCC" w:rsidRPr="009B2CA6">
        <w:rPr>
          <w:rFonts w:ascii="Verdana" w:hAnsi="Verdana" w:cs="Times New Roman"/>
          <w:sz w:val="20"/>
          <w:szCs w:val="20"/>
        </w:rPr>
        <w:t xml:space="preserve">nica S.A (Demandante) somete a consideración del Tribunal la cláusula de confidencialidad pactada entre las partes, alegando que la información que se ha presentado y que se seguirá presentando durante el procedimiento es información confidencial, resultando muy difícil </w:t>
      </w:r>
      <w:r w:rsidRPr="009B2CA6">
        <w:rPr>
          <w:rFonts w:ascii="Verdana" w:hAnsi="Verdana" w:cs="Times New Roman"/>
          <w:sz w:val="20"/>
          <w:szCs w:val="20"/>
        </w:rPr>
        <w:t>disociar</w:t>
      </w:r>
      <w:r w:rsidR="00316CCC" w:rsidRPr="009B2CA6">
        <w:rPr>
          <w:rFonts w:ascii="Verdana" w:hAnsi="Verdana" w:cs="Times New Roman"/>
          <w:sz w:val="20"/>
          <w:szCs w:val="20"/>
        </w:rPr>
        <w:t xml:space="preserve"> la información de carácter público de la información confidencial, ya que incluye “</w:t>
      </w:r>
      <w:r w:rsidR="00316CCC" w:rsidRPr="009B2CA6">
        <w:rPr>
          <w:rFonts w:ascii="Verdana" w:hAnsi="Verdana" w:cs="Times New Roman"/>
          <w:i/>
          <w:sz w:val="20"/>
          <w:szCs w:val="20"/>
        </w:rPr>
        <w:t>(…) información relativa a los costos, ingresos y rentabilidad de la</w:t>
      </w:r>
      <w:r w:rsidR="00BF3396">
        <w:rPr>
          <w:rFonts w:ascii="Verdana" w:hAnsi="Verdana" w:cs="Times New Roman"/>
          <w:i/>
          <w:sz w:val="20"/>
          <w:szCs w:val="20"/>
        </w:rPr>
        <w:t xml:space="preserve"> inversión de Telefó</w:t>
      </w:r>
      <w:r w:rsidR="00316CCC" w:rsidRPr="009B2CA6">
        <w:rPr>
          <w:rFonts w:ascii="Verdana" w:hAnsi="Verdana" w:cs="Times New Roman"/>
          <w:i/>
          <w:sz w:val="20"/>
          <w:szCs w:val="20"/>
        </w:rPr>
        <w:t>nica en México, su topología de red y uso de tecnologías y espectro, así como estimaciones de Telefónica y/o terceros respecto de esos y/u otros rubros similares de los competidores de las concesionarias mexicanas de Telefónica, estados contables, estados financieros, participación del mercado, proyecciones de mercado, entre mucha otra de similar naturaleza</w:t>
      </w:r>
      <w:r w:rsidR="00316CCC" w:rsidRPr="009B2CA6">
        <w:rPr>
          <w:rFonts w:ascii="Verdana" w:hAnsi="Verdana" w:cs="Times New Roman"/>
          <w:sz w:val="20"/>
          <w:szCs w:val="20"/>
        </w:rPr>
        <w:t>”</w:t>
      </w:r>
      <w:r w:rsidR="00316CCC" w:rsidRPr="009B2CA6">
        <w:rPr>
          <w:rStyle w:val="Refdenotaalpie"/>
          <w:rFonts w:ascii="Verdana" w:hAnsi="Verdana" w:cs="Times New Roman"/>
          <w:sz w:val="20"/>
          <w:szCs w:val="20"/>
        </w:rPr>
        <w:footnoteReference w:id="22"/>
      </w:r>
      <w:r w:rsidR="005972D4" w:rsidRPr="009B2CA6">
        <w:rPr>
          <w:rFonts w:ascii="Verdana" w:hAnsi="Verdana" w:cs="Times New Roman"/>
          <w:sz w:val="20"/>
          <w:szCs w:val="20"/>
        </w:rPr>
        <w:t>, por lo que la utilización de dicha información fuera del procedimiento y utilizada de forma ventajosa por terceros ajenos a la controversia, podría causar daños y perjuicios tanto a Telefónica como a la Demandada</w:t>
      </w:r>
      <w:r w:rsidR="007846A5" w:rsidRPr="009B2CA6">
        <w:rPr>
          <w:rFonts w:ascii="Verdana" w:hAnsi="Verdana" w:cs="Times New Roman"/>
          <w:sz w:val="20"/>
          <w:szCs w:val="20"/>
        </w:rPr>
        <w:t>,</w:t>
      </w:r>
      <w:r w:rsidR="009702A9" w:rsidRPr="009B2CA6">
        <w:rPr>
          <w:rFonts w:ascii="Verdana" w:hAnsi="Verdana" w:cs="Times New Roman"/>
          <w:sz w:val="20"/>
          <w:szCs w:val="20"/>
        </w:rPr>
        <w:t xml:space="preserve"> </w:t>
      </w:r>
      <w:r w:rsidR="007846A5" w:rsidRPr="009B2CA6">
        <w:rPr>
          <w:rFonts w:ascii="Verdana" w:hAnsi="Verdana" w:cs="Times New Roman"/>
          <w:sz w:val="20"/>
          <w:szCs w:val="20"/>
        </w:rPr>
        <w:t>m</w:t>
      </w:r>
      <w:r w:rsidR="009702A9" w:rsidRPr="009B2CA6">
        <w:rPr>
          <w:rFonts w:ascii="Verdana" w:hAnsi="Verdana" w:cs="Times New Roman"/>
          <w:sz w:val="20"/>
          <w:szCs w:val="20"/>
        </w:rPr>
        <w:t xml:space="preserve">otivo por el cual </w:t>
      </w:r>
      <w:r w:rsidR="00E94591" w:rsidRPr="009B2CA6">
        <w:rPr>
          <w:rFonts w:ascii="Verdana" w:hAnsi="Verdana" w:cs="Times New Roman"/>
          <w:sz w:val="20"/>
          <w:szCs w:val="20"/>
        </w:rPr>
        <w:t>exige la confidencialidad de la información</w:t>
      </w:r>
      <w:r w:rsidR="005972D4" w:rsidRPr="009B2CA6">
        <w:rPr>
          <w:rFonts w:ascii="Verdana" w:hAnsi="Verdana" w:cs="Times New Roman"/>
          <w:sz w:val="20"/>
          <w:szCs w:val="20"/>
        </w:rPr>
        <w:t>.</w:t>
      </w:r>
      <w:r w:rsidR="00B64699" w:rsidRPr="009B2CA6">
        <w:rPr>
          <w:rFonts w:ascii="Verdana" w:hAnsi="Verdana" w:cs="Times New Roman"/>
          <w:sz w:val="20"/>
          <w:szCs w:val="20"/>
        </w:rPr>
        <w:t xml:space="preserve"> </w:t>
      </w:r>
    </w:p>
    <w:p w:rsidR="000913BE" w:rsidRPr="009B2CA6" w:rsidRDefault="00B64699"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La Demandada señala, entre otras cosas, que ni el APPRI ni el Reglamento de Arbitraje (Mecanismo Complementario) imponen una o</w:t>
      </w:r>
      <w:r w:rsidR="009702A9" w:rsidRPr="009B2CA6">
        <w:rPr>
          <w:rFonts w:ascii="Verdana" w:hAnsi="Verdana" w:cs="Times New Roman"/>
          <w:sz w:val="20"/>
          <w:szCs w:val="20"/>
        </w:rPr>
        <w:t>bligación de confidencialidad a</w:t>
      </w:r>
      <w:r w:rsidRPr="009B2CA6">
        <w:rPr>
          <w:rFonts w:ascii="Verdana" w:hAnsi="Verdana" w:cs="Times New Roman"/>
          <w:sz w:val="20"/>
          <w:szCs w:val="20"/>
        </w:rPr>
        <w:t xml:space="preserve"> las Partes, excepto en lo relativo a la audiencia. Según la Demandada, “</w:t>
      </w:r>
      <w:r w:rsidRPr="009B2CA6">
        <w:rPr>
          <w:rFonts w:ascii="Verdana" w:hAnsi="Verdana" w:cs="Times New Roman"/>
          <w:i/>
          <w:sz w:val="20"/>
          <w:szCs w:val="20"/>
        </w:rPr>
        <w:t>el hecho de que el APPRI únicamente se refiera a la publicidad del laudo no significa que el resto de la información del procedimiento deba ser confidencial. Por el contrario, la ausencia de disposición al respecto en el APPRI lleva a entender que la Demandada nunca asumió una obligación de confidencialidad como la propuesta por la Demandante</w:t>
      </w:r>
      <w:r w:rsidRPr="009B2CA6">
        <w:rPr>
          <w:rFonts w:ascii="Verdana" w:hAnsi="Verdana" w:cs="Times New Roman"/>
          <w:sz w:val="20"/>
          <w:szCs w:val="20"/>
        </w:rPr>
        <w:t>”</w:t>
      </w:r>
      <w:r w:rsidRPr="009B2CA6">
        <w:rPr>
          <w:rStyle w:val="Refdenotaalpie"/>
          <w:rFonts w:ascii="Verdana" w:hAnsi="Verdana" w:cs="Times New Roman"/>
          <w:sz w:val="20"/>
          <w:szCs w:val="20"/>
        </w:rPr>
        <w:footnoteReference w:id="23"/>
      </w:r>
      <w:r w:rsidRPr="009B2CA6">
        <w:rPr>
          <w:rFonts w:ascii="Verdana" w:hAnsi="Verdana" w:cs="Times New Roman"/>
          <w:sz w:val="20"/>
          <w:szCs w:val="20"/>
        </w:rPr>
        <w:t>.</w:t>
      </w:r>
      <w:r w:rsidR="000913BE" w:rsidRPr="009B2CA6">
        <w:rPr>
          <w:rFonts w:ascii="Verdana" w:hAnsi="Verdana" w:cs="Times New Roman"/>
          <w:sz w:val="20"/>
          <w:szCs w:val="20"/>
        </w:rPr>
        <w:t xml:space="preserve"> </w:t>
      </w:r>
    </w:p>
    <w:p w:rsidR="008C2107" w:rsidRPr="009B2CA6" w:rsidRDefault="000913BE"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Analizado los argumentos presentados por las Partes, el </w:t>
      </w:r>
      <w:r w:rsidR="00D951E8" w:rsidRPr="009B2CA6">
        <w:rPr>
          <w:rFonts w:ascii="Verdana" w:hAnsi="Verdana" w:cs="Times New Roman"/>
          <w:sz w:val="20"/>
          <w:szCs w:val="20"/>
        </w:rPr>
        <w:t>tribunal c</w:t>
      </w:r>
      <w:r w:rsidR="00D91306" w:rsidRPr="009B2CA6">
        <w:rPr>
          <w:rFonts w:ascii="Verdana" w:hAnsi="Verdana" w:cs="Times New Roman"/>
          <w:sz w:val="20"/>
          <w:szCs w:val="20"/>
        </w:rPr>
        <w:t>onsideró</w:t>
      </w:r>
      <w:r w:rsidRPr="009B2CA6">
        <w:rPr>
          <w:rFonts w:ascii="Verdana" w:hAnsi="Verdana" w:cs="Times New Roman"/>
          <w:sz w:val="20"/>
          <w:szCs w:val="20"/>
        </w:rPr>
        <w:t xml:space="preserve"> que no prosperaba ninguna de las cláusulas de confidencialidad presentadas </w:t>
      </w:r>
      <w:r w:rsidR="00E94591" w:rsidRPr="009B2CA6">
        <w:rPr>
          <w:rFonts w:ascii="Verdana" w:hAnsi="Verdana" w:cs="Times New Roman"/>
          <w:sz w:val="20"/>
          <w:szCs w:val="20"/>
        </w:rPr>
        <w:t>a su valoración,</w:t>
      </w:r>
      <w:r w:rsidRPr="009B2CA6">
        <w:rPr>
          <w:rFonts w:ascii="Verdana" w:hAnsi="Verdana" w:cs="Times New Roman"/>
          <w:sz w:val="20"/>
          <w:szCs w:val="20"/>
        </w:rPr>
        <w:t xml:space="preserve"> por la razón </w:t>
      </w:r>
      <w:r w:rsidR="00D951E8" w:rsidRPr="009B2CA6">
        <w:rPr>
          <w:rFonts w:ascii="Verdana" w:hAnsi="Verdana" w:cs="Times New Roman"/>
          <w:sz w:val="20"/>
          <w:szCs w:val="20"/>
        </w:rPr>
        <w:t xml:space="preserve">que </w:t>
      </w:r>
      <w:r w:rsidR="00D91306" w:rsidRPr="009B2CA6">
        <w:rPr>
          <w:rFonts w:ascii="Verdana" w:hAnsi="Verdana" w:cs="Times New Roman"/>
          <w:sz w:val="20"/>
          <w:szCs w:val="20"/>
        </w:rPr>
        <w:t>“</w:t>
      </w:r>
      <w:r w:rsidR="00D91306" w:rsidRPr="009B2CA6">
        <w:rPr>
          <w:rFonts w:ascii="Verdana" w:hAnsi="Verdana" w:cs="Times New Roman"/>
          <w:i/>
          <w:sz w:val="20"/>
          <w:szCs w:val="20"/>
        </w:rPr>
        <w:t xml:space="preserve">ni el APPRI, ni el Convenio sobre Arreglo de Diferencias Relativas a Inversiones entre Estados y Nacionales de Otros Estados (el Convenio CIADI), ni el Reglamento de Arbitraje (Mecanismo Complementario) contienen reglas generales de publicidad o confidencialidad que deban ser observadas por las Partes en el presente </w:t>
      </w:r>
      <w:r w:rsidR="00D91306" w:rsidRPr="009B2CA6">
        <w:rPr>
          <w:rFonts w:ascii="Verdana" w:hAnsi="Verdana" w:cs="Times New Roman"/>
          <w:i/>
          <w:sz w:val="20"/>
          <w:szCs w:val="20"/>
        </w:rPr>
        <w:lastRenderedPageBreak/>
        <w:t>procedimiento</w:t>
      </w:r>
      <w:r w:rsidR="00D91306" w:rsidRPr="009B2CA6">
        <w:rPr>
          <w:rFonts w:ascii="Verdana" w:hAnsi="Verdana" w:cs="Times New Roman"/>
          <w:sz w:val="20"/>
          <w:szCs w:val="20"/>
        </w:rPr>
        <w:t>”</w:t>
      </w:r>
      <w:r w:rsidR="009702A9" w:rsidRPr="009B2CA6">
        <w:rPr>
          <w:rStyle w:val="Refdenotaalpie"/>
          <w:rFonts w:ascii="Verdana" w:hAnsi="Verdana" w:cs="Times New Roman"/>
          <w:sz w:val="20"/>
          <w:szCs w:val="20"/>
        </w:rPr>
        <w:footnoteReference w:id="24"/>
      </w:r>
      <w:r w:rsidR="00E94591" w:rsidRPr="009B2CA6">
        <w:rPr>
          <w:rFonts w:ascii="Verdana" w:hAnsi="Verdana" w:cs="Times New Roman"/>
          <w:sz w:val="20"/>
          <w:szCs w:val="20"/>
        </w:rPr>
        <w:t>. En este sentido,</w:t>
      </w:r>
      <w:r w:rsidRPr="009B2CA6">
        <w:rPr>
          <w:rFonts w:ascii="Verdana" w:hAnsi="Verdana" w:cs="Times New Roman"/>
          <w:sz w:val="20"/>
          <w:szCs w:val="20"/>
        </w:rPr>
        <w:t xml:space="preserve"> teniendo en cuenta que las Partes no han llegado a acuerdo alguno sobre la confidencialidad</w:t>
      </w:r>
      <w:r w:rsidR="006E6F38" w:rsidRPr="009B2CA6">
        <w:rPr>
          <w:rFonts w:ascii="Verdana" w:hAnsi="Verdana" w:cs="Times New Roman"/>
          <w:sz w:val="20"/>
          <w:szCs w:val="20"/>
        </w:rPr>
        <w:t xml:space="preserve"> y </w:t>
      </w:r>
      <w:r w:rsidRPr="009B2CA6">
        <w:rPr>
          <w:rFonts w:ascii="Verdana" w:hAnsi="Verdana" w:cs="Times New Roman"/>
          <w:sz w:val="20"/>
          <w:szCs w:val="20"/>
        </w:rPr>
        <w:t>ante la ausencia de una norma específica sobre confidencialidad en el APPRI y en el Reglamento del Mecanismo Complementario</w:t>
      </w:r>
      <w:r w:rsidR="006E6F38" w:rsidRPr="009B2CA6">
        <w:rPr>
          <w:rFonts w:ascii="Verdana" w:hAnsi="Verdana" w:cs="Times New Roman"/>
          <w:sz w:val="20"/>
          <w:szCs w:val="20"/>
        </w:rPr>
        <w:t>,</w:t>
      </w:r>
      <w:r w:rsidRPr="009B2CA6">
        <w:rPr>
          <w:rFonts w:ascii="Verdana" w:hAnsi="Verdana" w:cs="Times New Roman"/>
          <w:sz w:val="20"/>
          <w:szCs w:val="20"/>
        </w:rPr>
        <w:t xml:space="preserve"> y al no ser aplicable las disposiciones invocadas por la </w:t>
      </w:r>
      <w:r w:rsidR="002F17B7" w:rsidRPr="009B2CA6">
        <w:rPr>
          <w:rFonts w:ascii="Verdana" w:hAnsi="Verdana" w:cs="Times New Roman"/>
          <w:sz w:val="20"/>
          <w:szCs w:val="20"/>
        </w:rPr>
        <w:t>Demandada</w:t>
      </w:r>
      <w:r w:rsidRPr="009B2CA6">
        <w:rPr>
          <w:rFonts w:ascii="Verdana" w:hAnsi="Verdana" w:cs="Times New Roman"/>
          <w:sz w:val="20"/>
          <w:szCs w:val="20"/>
        </w:rPr>
        <w:t>, el Tr</w:t>
      </w:r>
      <w:r w:rsidR="00E94591" w:rsidRPr="009B2CA6">
        <w:rPr>
          <w:rFonts w:ascii="Verdana" w:hAnsi="Verdana" w:cs="Times New Roman"/>
          <w:sz w:val="20"/>
          <w:szCs w:val="20"/>
        </w:rPr>
        <w:t xml:space="preserve">ibunal </w:t>
      </w:r>
      <w:r w:rsidR="006E6F38" w:rsidRPr="009B2CA6">
        <w:rPr>
          <w:rFonts w:ascii="Verdana" w:hAnsi="Verdana" w:cs="Times New Roman"/>
          <w:sz w:val="20"/>
          <w:szCs w:val="20"/>
        </w:rPr>
        <w:t xml:space="preserve">considera que </w:t>
      </w:r>
      <w:r w:rsidR="00E94591" w:rsidRPr="009B2CA6">
        <w:rPr>
          <w:rFonts w:ascii="Verdana" w:hAnsi="Verdana" w:cs="Times New Roman"/>
          <w:sz w:val="20"/>
          <w:szCs w:val="20"/>
        </w:rPr>
        <w:t>debe aplicar</w:t>
      </w:r>
      <w:r w:rsidR="00C71229" w:rsidRPr="009B2CA6">
        <w:rPr>
          <w:rFonts w:ascii="Verdana" w:hAnsi="Verdana" w:cs="Times New Roman"/>
          <w:sz w:val="20"/>
          <w:szCs w:val="20"/>
        </w:rPr>
        <w:t xml:space="preserve"> e</w:t>
      </w:r>
      <w:r w:rsidRPr="009B2CA6">
        <w:rPr>
          <w:rFonts w:ascii="Verdana" w:hAnsi="Verdana" w:cs="Times New Roman"/>
          <w:sz w:val="20"/>
          <w:szCs w:val="20"/>
        </w:rPr>
        <w:t>l artículo 35 del Reglamento de Arbitraje (Mecanismo Complementario) que establece qu</w:t>
      </w:r>
      <w:r w:rsidR="00E94591" w:rsidRPr="009B2CA6">
        <w:rPr>
          <w:rFonts w:ascii="Verdana" w:hAnsi="Verdana" w:cs="Times New Roman"/>
          <w:sz w:val="20"/>
          <w:szCs w:val="20"/>
        </w:rPr>
        <w:t>e “</w:t>
      </w:r>
      <w:r w:rsidR="00E94591" w:rsidRPr="009B2CA6">
        <w:rPr>
          <w:rFonts w:ascii="Verdana" w:hAnsi="Verdana" w:cs="Times New Roman"/>
          <w:i/>
          <w:sz w:val="20"/>
          <w:szCs w:val="20"/>
        </w:rPr>
        <w:t>cualquier cuestión de procedimiento no contemplada en este Reglamento o en cualesquiera normas acordadas por las partes será decidida por el Tribunal</w:t>
      </w:r>
      <w:r w:rsidR="00E94591" w:rsidRPr="009B2CA6">
        <w:rPr>
          <w:rFonts w:ascii="Verdana" w:hAnsi="Verdana" w:cs="Times New Roman"/>
          <w:sz w:val="20"/>
          <w:szCs w:val="20"/>
        </w:rPr>
        <w:t>”</w:t>
      </w:r>
      <w:r w:rsidR="00E94591" w:rsidRPr="009B2CA6">
        <w:rPr>
          <w:rStyle w:val="Refdenotaalpie"/>
          <w:rFonts w:ascii="Verdana" w:hAnsi="Verdana" w:cs="Times New Roman"/>
          <w:sz w:val="20"/>
          <w:szCs w:val="20"/>
        </w:rPr>
        <w:footnoteReference w:id="25"/>
      </w:r>
      <w:r w:rsidR="00E94591" w:rsidRPr="009B2CA6">
        <w:rPr>
          <w:rFonts w:ascii="Verdana" w:hAnsi="Verdana" w:cs="Times New Roman"/>
          <w:sz w:val="20"/>
          <w:szCs w:val="20"/>
        </w:rPr>
        <w:t xml:space="preserve">. </w:t>
      </w:r>
      <w:r w:rsidR="006E6F38" w:rsidRPr="009B2CA6">
        <w:rPr>
          <w:rFonts w:ascii="Verdana" w:hAnsi="Verdana" w:cs="Times New Roman"/>
          <w:sz w:val="20"/>
          <w:szCs w:val="20"/>
        </w:rPr>
        <w:t xml:space="preserve">De esta manera, </w:t>
      </w:r>
      <w:r w:rsidR="00E94591" w:rsidRPr="009B2CA6">
        <w:rPr>
          <w:rFonts w:ascii="Verdana" w:hAnsi="Verdana" w:cs="Times New Roman"/>
          <w:sz w:val="20"/>
          <w:szCs w:val="20"/>
        </w:rPr>
        <w:t>el Tribunal considera que se preserva la integridad del procedimiento y se protege la información que est</w:t>
      </w:r>
      <w:r w:rsidR="006E6F38" w:rsidRPr="009B2CA6">
        <w:rPr>
          <w:rFonts w:ascii="Verdana" w:hAnsi="Verdana" w:cs="Times New Roman"/>
          <w:sz w:val="20"/>
          <w:szCs w:val="20"/>
        </w:rPr>
        <w:t>é sujeta a confidencialidad, al concluir que</w:t>
      </w:r>
      <w:r w:rsidR="00C71229" w:rsidRPr="009B2CA6">
        <w:rPr>
          <w:rFonts w:ascii="Verdana" w:hAnsi="Verdana" w:cs="Times New Roman"/>
          <w:sz w:val="20"/>
          <w:szCs w:val="20"/>
        </w:rPr>
        <w:t>:</w:t>
      </w:r>
      <w:r w:rsidR="006E6F38" w:rsidRPr="009B2CA6">
        <w:rPr>
          <w:rFonts w:ascii="Verdana" w:hAnsi="Verdana" w:cs="Times New Roman"/>
          <w:sz w:val="20"/>
          <w:szCs w:val="20"/>
        </w:rPr>
        <w:t xml:space="preserve"> “</w:t>
      </w:r>
      <w:r w:rsidR="006E6F38" w:rsidRPr="009B2CA6">
        <w:rPr>
          <w:rFonts w:ascii="Verdana" w:hAnsi="Verdana" w:cs="Times New Roman"/>
          <w:i/>
          <w:sz w:val="20"/>
          <w:szCs w:val="20"/>
        </w:rPr>
        <w:t>Las Partes deben abstenerse de revelar a terceros:</w:t>
      </w:r>
      <w:r w:rsidR="006E6F38" w:rsidRPr="009B2CA6">
        <w:rPr>
          <w:rFonts w:ascii="Verdana" w:hAnsi="Verdana"/>
          <w:i/>
          <w:sz w:val="20"/>
          <w:szCs w:val="20"/>
        </w:rPr>
        <w:t xml:space="preserve"> </w:t>
      </w:r>
      <w:r w:rsidR="006E6F38" w:rsidRPr="009B2CA6">
        <w:rPr>
          <w:rFonts w:ascii="Verdana" w:hAnsi="Verdana" w:cs="Times New Roman"/>
          <w:i/>
          <w:sz w:val="20"/>
          <w:szCs w:val="20"/>
        </w:rPr>
        <w:t>las actas o minutas de las audiencias;</w:t>
      </w:r>
      <w:r w:rsidR="006E6F38" w:rsidRPr="009B2CA6">
        <w:rPr>
          <w:rFonts w:ascii="Verdana" w:hAnsi="Verdana"/>
          <w:i/>
          <w:sz w:val="20"/>
          <w:szCs w:val="20"/>
        </w:rPr>
        <w:t xml:space="preserve"> </w:t>
      </w:r>
      <w:r w:rsidR="006E6F38" w:rsidRPr="009B2CA6">
        <w:rPr>
          <w:rFonts w:ascii="Verdana" w:hAnsi="Verdana" w:cs="Times New Roman"/>
          <w:i/>
          <w:sz w:val="20"/>
          <w:szCs w:val="20"/>
        </w:rPr>
        <w:t>los Documentos aportados por las Partes en el procedimiento;</w:t>
      </w:r>
      <w:r w:rsidR="006E6F38" w:rsidRPr="009B2CA6">
        <w:rPr>
          <w:rFonts w:ascii="Verdana" w:hAnsi="Verdana"/>
          <w:i/>
          <w:sz w:val="20"/>
          <w:szCs w:val="20"/>
        </w:rPr>
        <w:t xml:space="preserve"> </w:t>
      </w:r>
      <w:r w:rsidR="006E6F38" w:rsidRPr="009B2CA6">
        <w:rPr>
          <w:rFonts w:ascii="Verdana" w:hAnsi="Verdana" w:cs="Times New Roman"/>
          <w:i/>
          <w:sz w:val="20"/>
          <w:szCs w:val="20"/>
        </w:rPr>
        <w:t>la correspondencia relativa al procedimiento (intercambiada entre las Partes o entre éstas y el tribunal</w:t>
      </w:r>
      <w:r w:rsidR="006E6F38" w:rsidRPr="009B2CA6">
        <w:rPr>
          <w:rFonts w:ascii="Verdana" w:hAnsi="Verdana" w:cs="Times New Roman"/>
          <w:sz w:val="20"/>
          <w:szCs w:val="20"/>
        </w:rPr>
        <w:t>)</w:t>
      </w:r>
      <w:r w:rsidR="006E6F38" w:rsidRPr="009B2CA6">
        <w:rPr>
          <w:rStyle w:val="Refdenotaalpie"/>
          <w:rFonts w:ascii="Verdana" w:hAnsi="Verdana" w:cs="Times New Roman"/>
          <w:sz w:val="20"/>
          <w:szCs w:val="20"/>
        </w:rPr>
        <w:footnoteReference w:id="26"/>
      </w:r>
      <w:r w:rsidR="006E6F38" w:rsidRPr="009B2CA6">
        <w:rPr>
          <w:rFonts w:ascii="Verdana" w:hAnsi="Verdana" w:cs="Times New Roman"/>
          <w:i/>
          <w:sz w:val="20"/>
          <w:szCs w:val="20"/>
        </w:rPr>
        <w:t>.</w:t>
      </w:r>
      <w:r w:rsidR="006E6F38" w:rsidRPr="009B2CA6">
        <w:rPr>
          <w:rFonts w:ascii="Verdana" w:hAnsi="Verdana" w:cs="Times New Roman"/>
          <w:sz w:val="20"/>
          <w:szCs w:val="20"/>
        </w:rPr>
        <w:t xml:space="preserve"> No podrá modificarse o levantar dichas restricciones sin autorización del tribunal.</w:t>
      </w:r>
    </w:p>
    <w:p w:rsidR="006773FA" w:rsidRPr="009B2CA6" w:rsidRDefault="00697414"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En suma, consideramos imprescindible la existencia de un marco legal coherente sobre la transparencia. </w:t>
      </w:r>
      <w:r w:rsidR="004C1AF1" w:rsidRPr="009B2CA6">
        <w:rPr>
          <w:rFonts w:ascii="Verdana" w:hAnsi="Verdana" w:cs="Times New Roman"/>
          <w:sz w:val="20"/>
          <w:szCs w:val="20"/>
        </w:rPr>
        <w:t>De esta forma</w:t>
      </w:r>
      <w:r w:rsidRPr="009B2CA6">
        <w:rPr>
          <w:rFonts w:ascii="Verdana" w:hAnsi="Verdana" w:cs="Times New Roman"/>
          <w:sz w:val="20"/>
          <w:szCs w:val="20"/>
        </w:rPr>
        <w:t>,</w:t>
      </w:r>
      <w:r w:rsidR="004C1AF1" w:rsidRPr="009B2CA6">
        <w:rPr>
          <w:rFonts w:ascii="Verdana" w:hAnsi="Verdana" w:cs="Times New Roman"/>
          <w:sz w:val="20"/>
          <w:szCs w:val="20"/>
        </w:rPr>
        <w:t xml:space="preserve"> los resultados o decisiones de los tribunales arbitrales</w:t>
      </w:r>
      <w:r w:rsidRPr="009B2CA6">
        <w:rPr>
          <w:rFonts w:ascii="Verdana" w:hAnsi="Verdana" w:cs="Times New Roman"/>
          <w:sz w:val="20"/>
          <w:szCs w:val="20"/>
        </w:rPr>
        <w:t xml:space="preserve"> y el prop</w:t>
      </w:r>
      <w:r w:rsidR="007F4FCB" w:rsidRPr="009B2CA6">
        <w:rPr>
          <w:rFonts w:ascii="Verdana" w:hAnsi="Verdana" w:cs="Times New Roman"/>
          <w:sz w:val="20"/>
          <w:szCs w:val="20"/>
        </w:rPr>
        <w:t>io procedimiento arbitral</w:t>
      </w:r>
      <w:r w:rsidR="004C1AF1" w:rsidRPr="009B2CA6">
        <w:rPr>
          <w:rFonts w:ascii="Verdana" w:hAnsi="Verdana" w:cs="Times New Roman"/>
          <w:sz w:val="20"/>
          <w:szCs w:val="20"/>
        </w:rPr>
        <w:t xml:space="preserve"> </w:t>
      </w:r>
      <w:r w:rsidR="004443BB" w:rsidRPr="009B2CA6">
        <w:rPr>
          <w:rFonts w:ascii="Verdana" w:hAnsi="Verdana" w:cs="Times New Roman"/>
          <w:sz w:val="20"/>
          <w:szCs w:val="20"/>
        </w:rPr>
        <w:t>tendrán</w:t>
      </w:r>
      <w:r w:rsidRPr="009B2CA6">
        <w:rPr>
          <w:rFonts w:ascii="Verdana" w:hAnsi="Verdana" w:cs="Times New Roman"/>
          <w:sz w:val="20"/>
          <w:szCs w:val="20"/>
        </w:rPr>
        <w:t xml:space="preserve"> una mejor fundamentación</w:t>
      </w:r>
      <w:r w:rsidR="007F4FCB" w:rsidRPr="009B2CA6">
        <w:rPr>
          <w:rFonts w:ascii="Verdana" w:hAnsi="Verdana" w:cs="Times New Roman"/>
          <w:sz w:val="20"/>
          <w:szCs w:val="20"/>
        </w:rPr>
        <w:t>,</w:t>
      </w:r>
      <w:r w:rsidRPr="009B2CA6">
        <w:rPr>
          <w:rFonts w:ascii="Verdana" w:hAnsi="Verdana" w:cs="Times New Roman"/>
          <w:sz w:val="20"/>
          <w:szCs w:val="20"/>
        </w:rPr>
        <w:t xml:space="preserve"> partiendo de un justo equilibrio entre la transparencia y la confidencialidad, en</w:t>
      </w:r>
      <w:r w:rsidR="008236A7" w:rsidRPr="009B2CA6">
        <w:rPr>
          <w:rFonts w:ascii="Verdana" w:hAnsi="Verdana" w:cs="Times New Roman"/>
          <w:sz w:val="20"/>
          <w:szCs w:val="20"/>
        </w:rPr>
        <w:t xml:space="preserve"> </w:t>
      </w:r>
      <w:r w:rsidRPr="009B2CA6">
        <w:rPr>
          <w:rFonts w:ascii="Verdana" w:hAnsi="Verdana" w:cs="Times New Roman"/>
          <w:sz w:val="20"/>
          <w:szCs w:val="20"/>
        </w:rPr>
        <w:t>total</w:t>
      </w:r>
      <w:r w:rsidR="00A57FC7" w:rsidRPr="009B2CA6">
        <w:rPr>
          <w:rFonts w:ascii="Verdana" w:hAnsi="Verdana" w:cs="Times New Roman"/>
          <w:sz w:val="20"/>
          <w:szCs w:val="20"/>
        </w:rPr>
        <w:t xml:space="preserve"> cumplimiento de</w:t>
      </w:r>
      <w:r w:rsidR="008236A7" w:rsidRPr="009B2CA6">
        <w:rPr>
          <w:rFonts w:ascii="Verdana" w:hAnsi="Verdana" w:cs="Times New Roman"/>
          <w:sz w:val="20"/>
          <w:szCs w:val="20"/>
        </w:rPr>
        <w:t xml:space="preserve"> los</w:t>
      </w:r>
      <w:r w:rsidR="004C1AF1" w:rsidRPr="009B2CA6">
        <w:rPr>
          <w:rFonts w:ascii="Verdana" w:hAnsi="Verdana" w:cs="Times New Roman"/>
          <w:sz w:val="20"/>
          <w:szCs w:val="20"/>
        </w:rPr>
        <w:t xml:space="preserve"> derechos de las partes</w:t>
      </w:r>
      <w:r w:rsidR="00A57FC7" w:rsidRPr="009B2CA6">
        <w:rPr>
          <w:rFonts w:ascii="Verdana" w:hAnsi="Verdana" w:cs="Times New Roman"/>
          <w:sz w:val="20"/>
          <w:szCs w:val="20"/>
        </w:rPr>
        <w:t xml:space="preserve"> en litigio</w:t>
      </w:r>
      <w:r w:rsidR="005F6472" w:rsidRPr="009B2CA6">
        <w:rPr>
          <w:rFonts w:ascii="Verdana" w:hAnsi="Verdana" w:cs="Times New Roman"/>
          <w:sz w:val="20"/>
          <w:szCs w:val="20"/>
        </w:rPr>
        <w:t>,</w:t>
      </w:r>
      <w:r w:rsidR="008236A7" w:rsidRPr="009B2CA6">
        <w:rPr>
          <w:rFonts w:ascii="Verdana" w:hAnsi="Verdana" w:cs="Times New Roman"/>
          <w:sz w:val="20"/>
          <w:szCs w:val="20"/>
        </w:rPr>
        <w:t xml:space="preserve"> </w:t>
      </w:r>
      <w:r w:rsidR="005F6472" w:rsidRPr="009B2CA6">
        <w:rPr>
          <w:rFonts w:ascii="Verdana" w:hAnsi="Verdana" w:cs="Times New Roman"/>
          <w:sz w:val="20"/>
          <w:szCs w:val="20"/>
        </w:rPr>
        <w:t>c</w:t>
      </w:r>
      <w:r w:rsidR="008236A7" w:rsidRPr="009B2CA6">
        <w:rPr>
          <w:rFonts w:ascii="Verdana" w:hAnsi="Verdana" w:cs="Times New Roman"/>
          <w:sz w:val="20"/>
          <w:szCs w:val="20"/>
        </w:rPr>
        <w:t>uesti</w:t>
      </w:r>
      <w:r w:rsidR="007F4FCB" w:rsidRPr="009B2CA6">
        <w:rPr>
          <w:rFonts w:ascii="Verdana" w:hAnsi="Verdana" w:cs="Times New Roman"/>
          <w:sz w:val="20"/>
          <w:szCs w:val="20"/>
        </w:rPr>
        <w:t>ón</w:t>
      </w:r>
      <w:r w:rsidR="008236A7" w:rsidRPr="009B2CA6">
        <w:rPr>
          <w:rFonts w:ascii="Verdana" w:hAnsi="Verdana" w:cs="Times New Roman"/>
          <w:sz w:val="20"/>
          <w:szCs w:val="20"/>
        </w:rPr>
        <w:t xml:space="preserve"> </w:t>
      </w:r>
      <w:r w:rsidR="007F4FCB" w:rsidRPr="009B2CA6">
        <w:rPr>
          <w:rFonts w:ascii="Verdana" w:hAnsi="Verdana" w:cs="Times New Roman"/>
          <w:sz w:val="20"/>
          <w:szCs w:val="20"/>
        </w:rPr>
        <w:t xml:space="preserve">que puede influir en </w:t>
      </w:r>
      <w:r w:rsidR="008236A7" w:rsidRPr="009B2CA6">
        <w:rPr>
          <w:rFonts w:ascii="Verdana" w:hAnsi="Verdana" w:cs="Times New Roman"/>
          <w:sz w:val="20"/>
          <w:szCs w:val="20"/>
        </w:rPr>
        <w:t>la posterior ejecución del laudo y su aceptación por el Estado receptor de la inversión</w:t>
      </w:r>
      <w:r w:rsidR="00502E84" w:rsidRPr="009B2CA6">
        <w:rPr>
          <w:rFonts w:ascii="Verdana" w:hAnsi="Verdana" w:cs="Times New Roman"/>
          <w:sz w:val="20"/>
          <w:szCs w:val="20"/>
        </w:rPr>
        <w:t xml:space="preserve">. </w:t>
      </w:r>
      <w:r w:rsidR="006773FA" w:rsidRPr="009B2CA6">
        <w:rPr>
          <w:rFonts w:ascii="Verdana" w:hAnsi="Verdana" w:cs="Times New Roman"/>
          <w:sz w:val="20"/>
          <w:szCs w:val="20"/>
        </w:rPr>
        <w:t xml:space="preserve">La importancia y trascendencia de las cuestiones antes referidas, así como la presión de los Estados y la propia sociedad respecto a la transparencia en el arbitraje de inversiones, </w:t>
      </w:r>
      <w:r w:rsidR="00300838" w:rsidRPr="009B2CA6">
        <w:rPr>
          <w:rFonts w:ascii="Verdana" w:hAnsi="Verdana" w:cs="Times New Roman"/>
          <w:sz w:val="20"/>
          <w:szCs w:val="20"/>
        </w:rPr>
        <w:t>han sido motivo, entre otros</w:t>
      </w:r>
      <w:r w:rsidR="006773FA" w:rsidRPr="009B2CA6">
        <w:rPr>
          <w:rFonts w:ascii="Verdana" w:hAnsi="Verdana" w:cs="Times New Roman"/>
          <w:sz w:val="20"/>
          <w:szCs w:val="20"/>
        </w:rPr>
        <w:t xml:space="preserve">, para que el CIADI tomara </w:t>
      </w:r>
      <w:r w:rsidR="00300838" w:rsidRPr="009B2CA6">
        <w:rPr>
          <w:rFonts w:ascii="Verdana" w:hAnsi="Verdana" w:cs="Times New Roman"/>
          <w:sz w:val="20"/>
          <w:szCs w:val="20"/>
        </w:rPr>
        <w:t xml:space="preserve">un mayor interés </w:t>
      </w:r>
      <w:r w:rsidR="006773FA" w:rsidRPr="009B2CA6">
        <w:rPr>
          <w:rFonts w:ascii="Verdana" w:hAnsi="Verdana" w:cs="Times New Roman"/>
          <w:sz w:val="20"/>
          <w:szCs w:val="20"/>
        </w:rPr>
        <w:t xml:space="preserve">en el asunto y comenzara a preocuparse por una posible modificación de sus actuales Reglas. </w:t>
      </w:r>
    </w:p>
    <w:p w:rsidR="007E5312" w:rsidRPr="009B2CA6" w:rsidRDefault="006773FA"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Así pues, e</w:t>
      </w:r>
      <w:r w:rsidR="003B6106" w:rsidRPr="009B2CA6">
        <w:rPr>
          <w:rFonts w:ascii="Verdana" w:hAnsi="Verdana" w:cs="Times New Roman"/>
          <w:sz w:val="20"/>
          <w:szCs w:val="20"/>
        </w:rPr>
        <w:t>l</w:t>
      </w:r>
      <w:r w:rsidR="00E373BC" w:rsidRPr="009B2CA6">
        <w:rPr>
          <w:rFonts w:ascii="Verdana" w:hAnsi="Verdana" w:cs="Times New Roman"/>
          <w:sz w:val="20"/>
          <w:szCs w:val="20"/>
        </w:rPr>
        <w:t xml:space="preserve"> 3 de agosto</w:t>
      </w:r>
      <w:r w:rsidR="00300838" w:rsidRPr="009B2CA6">
        <w:rPr>
          <w:rFonts w:ascii="Verdana" w:hAnsi="Verdana" w:cs="Times New Roman"/>
          <w:sz w:val="20"/>
          <w:szCs w:val="20"/>
        </w:rPr>
        <w:t xml:space="preserve"> de 2018, el CIADI publica</w:t>
      </w:r>
      <w:r w:rsidR="00EF7EA3" w:rsidRPr="009B2CA6">
        <w:rPr>
          <w:rFonts w:ascii="Verdana" w:hAnsi="Verdana" w:cs="Times New Roman"/>
          <w:sz w:val="20"/>
          <w:szCs w:val="20"/>
        </w:rPr>
        <w:t xml:space="preserve"> amplias propuestas de modernización de sus actuales reglas,</w:t>
      </w:r>
      <w:r w:rsidR="003B6106" w:rsidRPr="009B2CA6">
        <w:rPr>
          <w:rFonts w:ascii="Verdana" w:hAnsi="Verdana" w:cs="Times New Roman"/>
          <w:sz w:val="20"/>
          <w:szCs w:val="20"/>
        </w:rPr>
        <w:t xml:space="preserve"> invit</w:t>
      </w:r>
      <w:r w:rsidR="00EF7EA3" w:rsidRPr="009B2CA6">
        <w:rPr>
          <w:rFonts w:ascii="Verdana" w:hAnsi="Verdana" w:cs="Times New Roman"/>
          <w:sz w:val="20"/>
          <w:szCs w:val="20"/>
        </w:rPr>
        <w:t>ando</w:t>
      </w:r>
      <w:r w:rsidR="003B6106" w:rsidRPr="009B2CA6">
        <w:rPr>
          <w:rFonts w:ascii="Verdana" w:hAnsi="Verdana" w:cs="Times New Roman"/>
          <w:sz w:val="20"/>
          <w:szCs w:val="20"/>
        </w:rPr>
        <w:t xml:space="preserve"> a los Estados y al público en general a presentar sus comentarios sobre las</w:t>
      </w:r>
      <w:r w:rsidR="00E373BC" w:rsidRPr="009B2CA6">
        <w:rPr>
          <w:rFonts w:ascii="Verdana" w:hAnsi="Verdana" w:cs="Times New Roman"/>
          <w:sz w:val="20"/>
          <w:szCs w:val="20"/>
        </w:rPr>
        <w:t xml:space="preserve"> propuestas </w:t>
      </w:r>
      <w:r w:rsidR="003B6106" w:rsidRPr="009B2CA6">
        <w:rPr>
          <w:rFonts w:ascii="Verdana" w:hAnsi="Verdana" w:cs="Times New Roman"/>
          <w:sz w:val="20"/>
          <w:szCs w:val="20"/>
        </w:rPr>
        <w:t>de enmiendas presentadas</w:t>
      </w:r>
      <w:r w:rsidR="0065048E" w:rsidRPr="009B2CA6">
        <w:rPr>
          <w:rFonts w:ascii="Verdana" w:hAnsi="Verdana" w:cs="Times New Roman"/>
          <w:sz w:val="20"/>
          <w:szCs w:val="20"/>
        </w:rPr>
        <w:t>, concluyendo el proceso de consulta</w:t>
      </w:r>
      <w:r w:rsidR="00BF3396">
        <w:rPr>
          <w:rFonts w:ascii="Verdana" w:hAnsi="Verdana" w:cs="Times New Roman"/>
          <w:sz w:val="20"/>
          <w:szCs w:val="20"/>
        </w:rPr>
        <w:t xml:space="preserve"> el 28 de diciembre del propio</w:t>
      </w:r>
      <w:r w:rsidR="00EF7EA3" w:rsidRPr="009B2CA6">
        <w:rPr>
          <w:rFonts w:ascii="Verdana" w:hAnsi="Verdana" w:cs="Times New Roman"/>
          <w:sz w:val="20"/>
          <w:szCs w:val="20"/>
        </w:rPr>
        <w:t xml:space="preserve"> año</w:t>
      </w:r>
      <w:r w:rsidR="0065048E" w:rsidRPr="009B2CA6">
        <w:rPr>
          <w:rStyle w:val="Refdenotaalpie"/>
          <w:rFonts w:ascii="Verdana" w:hAnsi="Verdana" w:cs="Times New Roman"/>
          <w:sz w:val="20"/>
          <w:szCs w:val="20"/>
        </w:rPr>
        <w:footnoteReference w:id="27"/>
      </w:r>
      <w:r w:rsidR="00E373BC" w:rsidRPr="009B2CA6">
        <w:rPr>
          <w:rFonts w:ascii="Verdana" w:hAnsi="Verdana" w:cs="Times New Roman"/>
          <w:sz w:val="20"/>
          <w:szCs w:val="20"/>
        </w:rPr>
        <w:t xml:space="preserve">. </w:t>
      </w:r>
      <w:r w:rsidR="00F41111" w:rsidRPr="009B2CA6">
        <w:rPr>
          <w:rFonts w:ascii="Verdana" w:hAnsi="Verdana" w:cs="Times New Roman"/>
          <w:sz w:val="20"/>
          <w:szCs w:val="20"/>
        </w:rPr>
        <w:t>L</w:t>
      </w:r>
      <w:r w:rsidR="008236A7" w:rsidRPr="009B2CA6">
        <w:rPr>
          <w:rFonts w:ascii="Verdana" w:hAnsi="Verdana" w:cs="Times New Roman"/>
          <w:sz w:val="20"/>
          <w:szCs w:val="20"/>
        </w:rPr>
        <w:t xml:space="preserve">as actuales enmiendas </w:t>
      </w:r>
      <w:r w:rsidR="005D200C" w:rsidRPr="009B2CA6">
        <w:rPr>
          <w:rFonts w:ascii="Verdana" w:hAnsi="Verdana" w:cs="Times New Roman"/>
          <w:sz w:val="20"/>
          <w:szCs w:val="20"/>
        </w:rPr>
        <w:t xml:space="preserve">propuestas </w:t>
      </w:r>
      <w:r w:rsidR="008236A7" w:rsidRPr="009B2CA6">
        <w:rPr>
          <w:rFonts w:ascii="Verdana" w:hAnsi="Verdana" w:cs="Times New Roman"/>
          <w:sz w:val="20"/>
          <w:szCs w:val="20"/>
        </w:rPr>
        <w:t>a las Reglas de Arbitraje del</w:t>
      </w:r>
      <w:r w:rsidR="0009657D" w:rsidRPr="009B2CA6">
        <w:rPr>
          <w:rFonts w:ascii="Verdana" w:hAnsi="Verdana" w:cs="Times New Roman"/>
          <w:sz w:val="20"/>
          <w:szCs w:val="20"/>
        </w:rPr>
        <w:t xml:space="preserve"> </w:t>
      </w:r>
      <w:r w:rsidR="00911B13" w:rsidRPr="009B2CA6">
        <w:rPr>
          <w:rFonts w:ascii="Verdana" w:hAnsi="Verdana" w:cs="Times New Roman"/>
          <w:sz w:val="20"/>
          <w:szCs w:val="20"/>
        </w:rPr>
        <w:t>CIADI</w:t>
      </w:r>
      <w:r w:rsidR="00343531" w:rsidRPr="009B2CA6">
        <w:rPr>
          <w:rStyle w:val="Refdenotaalpie"/>
          <w:rFonts w:ascii="Verdana" w:hAnsi="Verdana" w:cs="Times New Roman"/>
          <w:sz w:val="20"/>
          <w:szCs w:val="20"/>
        </w:rPr>
        <w:footnoteReference w:id="28"/>
      </w:r>
      <w:r w:rsidR="00343531" w:rsidRPr="009B2CA6">
        <w:rPr>
          <w:rFonts w:ascii="Verdana" w:hAnsi="Verdana" w:cs="Times New Roman"/>
          <w:sz w:val="20"/>
          <w:szCs w:val="20"/>
        </w:rPr>
        <w:t xml:space="preserve"> y al Mecanismo Complementario</w:t>
      </w:r>
      <w:r w:rsidR="00343531" w:rsidRPr="009B2CA6">
        <w:rPr>
          <w:rStyle w:val="Refdenotaalpie"/>
          <w:rFonts w:ascii="Verdana" w:hAnsi="Verdana" w:cs="Times New Roman"/>
          <w:sz w:val="20"/>
          <w:szCs w:val="20"/>
        </w:rPr>
        <w:footnoteReference w:id="29"/>
      </w:r>
      <w:r w:rsidR="005D200C" w:rsidRPr="009B2CA6">
        <w:rPr>
          <w:rFonts w:ascii="Verdana" w:hAnsi="Verdana" w:cs="Times New Roman"/>
          <w:sz w:val="20"/>
          <w:szCs w:val="20"/>
        </w:rPr>
        <w:t xml:space="preserve"> prevén </w:t>
      </w:r>
      <w:r w:rsidR="0009657D" w:rsidRPr="009B2CA6">
        <w:rPr>
          <w:rFonts w:ascii="Verdana" w:hAnsi="Verdana" w:cs="Times New Roman"/>
          <w:sz w:val="20"/>
          <w:szCs w:val="20"/>
        </w:rPr>
        <w:t xml:space="preserve">una </w:t>
      </w:r>
      <w:r w:rsidR="00F41111" w:rsidRPr="009B2CA6">
        <w:rPr>
          <w:rFonts w:ascii="Verdana" w:hAnsi="Verdana" w:cs="Times New Roman"/>
          <w:sz w:val="20"/>
          <w:szCs w:val="20"/>
        </w:rPr>
        <w:t>mayor</w:t>
      </w:r>
      <w:r w:rsidR="0009657D" w:rsidRPr="009B2CA6">
        <w:rPr>
          <w:rFonts w:ascii="Verdana" w:hAnsi="Verdana" w:cs="Times New Roman"/>
          <w:sz w:val="20"/>
          <w:szCs w:val="20"/>
        </w:rPr>
        <w:t xml:space="preserve"> publicación de la documentación</w:t>
      </w:r>
      <w:r w:rsidR="00F41111" w:rsidRPr="009B2CA6">
        <w:rPr>
          <w:rFonts w:ascii="Verdana" w:hAnsi="Verdana" w:cs="Times New Roman"/>
          <w:sz w:val="20"/>
          <w:szCs w:val="20"/>
        </w:rPr>
        <w:t>. Sin embargo, en cuanto a la publicación del</w:t>
      </w:r>
      <w:r w:rsidR="005D200C" w:rsidRPr="009B2CA6">
        <w:rPr>
          <w:rFonts w:ascii="Verdana" w:hAnsi="Verdana" w:cs="Times New Roman"/>
          <w:sz w:val="20"/>
          <w:szCs w:val="20"/>
        </w:rPr>
        <w:t xml:space="preserve"> laudo</w:t>
      </w:r>
      <w:r w:rsidR="0009657D" w:rsidRPr="009B2CA6">
        <w:rPr>
          <w:rFonts w:ascii="Verdana" w:hAnsi="Verdana" w:cs="Times New Roman"/>
          <w:sz w:val="20"/>
          <w:szCs w:val="20"/>
        </w:rPr>
        <w:t>,</w:t>
      </w:r>
      <w:r w:rsidR="00F41111" w:rsidRPr="009B2CA6">
        <w:rPr>
          <w:rFonts w:ascii="Verdana" w:hAnsi="Verdana" w:cs="Times New Roman"/>
          <w:sz w:val="20"/>
          <w:szCs w:val="20"/>
        </w:rPr>
        <w:t xml:space="preserve"> será posible siempre que exista el consentimiento de las partes, por lo que no exis</w:t>
      </w:r>
      <w:r w:rsidR="00F74178" w:rsidRPr="009B2CA6">
        <w:rPr>
          <w:rFonts w:ascii="Verdana" w:hAnsi="Verdana" w:cs="Times New Roman"/>
          <w:sz w:val="20"/>
          <w:szCs w:val="20"/>
        </w:rPr>
        <w:t>te variación alguna al respecto, d</w:t>
      </w:r>
      <w:r w:rsidR="0009657D" w:rsidRPr="009B2CA6">
        <w:rPr>
          <w:rFonts w:ascii="Verdana" w:hAnsi="Verdana" w:cs="Times New Roman"/>
          <w:sz w:val="20"/>
          <w:szCs w:val="20"/>
        </w:rPr>
        <w:t>ebido</w:t>
      </w:r>
      <w:r w:rsidR="00F41111" w:rsidRPr="009B2CA6">
        <w:rPr>
          <w:rFonts w:ascii="Verdana" w:hAnsi="Verdana" w:cs="Times New Roman"/>
          <w:sz w:val="20"/>
          <w:szCs w:val="20"/>
        </w:rPr>
        <w:t>,</w:t>
      </w:r>
      <w:r w:rsidR="0009657D" w:rsidRPr="009B2CA6">
        <w:rPr>
          <w:rFonts w:ascii="Verdana" w:hAnsi="Verdana" w:cs="Times New Roman"/>
          <w:sz w:val="20"/>
          <w:szCs w:val="20"/>
        </w:rPr>
        <w:t xml:space="preserve"> fundamentalmente</w:t>
      </w:r>
      <w:r w:rsidR="00F41111" w:rsidRPr="009B2CA6">
        <w:rPr>
          <w:rFonts w:ascii="Verdana" w:hAnsi="Verdana" w:cs="Times New Roman"/>
          <w:sz w:val="20"/>
          <w:szCs w:val="20"/>
        </w:rPr>
        <w:t>,</w:t>
      </w:r>
      <w:r w:rsidR="0009657D" w:rsidRPr="009B2CA6">
        <w:rPr>
          <w:rFonts w:ascii="Verdana" w:hAnsi="Verdana" w:cs="Times New Roman"/>
          <w:sz w:val="20"/>
          <w:szCs w:val="20"/>
        </w:rPr>
        <w:t xml:space="preserve"> a la propia limitación exi</w:t>
      </w:r>
      <w:r w:rsidR="00300838" w:rsidRPr="009B2CA6">
        <w:rPr>
          <w:rFonts w:ascii="Verdana" w:hAnsi="Verdana" w:cs="Times New Roman"/>
          <w:sz w:val="20"/>
          <w:szCs w:val="20"/>
        </w:rPr>
        <w:t>stente en el Convenio del CIADI que</w:t>
      </w:r>
      <w:r w:rsidR="005D200C" w:rsidRPr="009B2CA6">
        <w:rPr>
          <w:rFonts w:ascii="Verdana" w:hAnsi="Verdana" w:cs="Times New Roman"/>
          <w:sz w:val="20"/>
          <w:szCs w:val="20"/>
        </w:rPr>
        <w:t xml:space="preserve"> no será modificado. </w:t>
      </w:r>
      <w:r w:rsidR="00BF3396">
        <w:rPr>
          <w:rFonts w:ascii="Verdana" w:hAnsi="Verdana" w:cs="Times New Roman"/>
          <w:sz w:val="20"/>
          <w:szCs w:val="20"/>
        </w:rPr>
        <w:t>Aú</w:t>
      </w:r>
      <w:r w:rsidR="00F74178" w:rsidRPr="009B2CA6">
        <w:rPr>
          <w:rFonts w:ascii="Verdana" w:hAnsi="Verdana" w:cs="Times New Roman"/>
          <w:sz w:val="20"/>
          <w:szCs w:val="20"/>
        </w:rPr>
        <w:t xml:space="preserve">n y cuando continúa </w:t>
      </w:r>
      <w:r w:rsidR="001D665D" w:rsidRPr="009B2CA6">
        <w:rPr>
          <w:rFonts w:ascii="Verdana" w:hAnsi="Verdana" w:cs="Times New Roman"/>
          <w:sz w:val="20"/>
          <w:szCs w:val="20"/>
        </w:rPr>
        <w:t>predominando el consentimiento de las partes para la publicación del l</w:t>
      </w:r>
      <w:r w:rsidR="00AF726D" w:rsidRPr="009B2CA6">
        <w:rPr>
          <w:rFonts w:ascii="Verdana" w:hAnsi="Verdana" w:cs="Times New Roman"/>
          <w:sz w:val="20"/>
          <w:szCs w:val="20"/>
        </w:rPr>
        <w:t>audo</w:t>
      </w:r>
      <w:r w:rsidR="00AF726D" w:rsidRPr="009B2CA6">
        <w:rPr>
          <w:rStyle w:val="Refdenotaalpie"/>
          <w:rFonts w:ascii="Verdana" w:hAnsi="Verdana" w:cs="Times New Roman"/>
          <w:sz w:val="20"/>
          <w:szCs w:val="20"/>
        </w:rPr>
        <w:footnoteReference w:id="30"/>
      </w:r>
      <w:r w:rsidR="00AF726D" w:rsidRPr="009B2CA6">
        <w:rPr>
          <w:rFonts w:ascii="Verdana" w:hAnsi="Verdana" w:cs="Times New Roman"/>
          <w:sz w:val="20"/>
          <w:szCs w:val="20"/>
        </w:rPr>
        <w:t xml:space="preserve">, </w:t>
      </w:r>
      <w:r w:rsidR="00F74178" w:rsidRPr="009B2CA6">
        <w:rPr>
          <w:rFonts w:ascii="Verdana" w:hAnsi="Verdana" w:cs="Times New Roman"/>
          <w:sz w:val="20"/>
          <w:szCs w:val="20"/>
        </w:rPr>
        <w:t xml:space="preserve">se pretende </w:t>
      </w:r>
      <w:r w:rsidR="00AF726D" w:rsidRPr="009B2CA6">
        <w:rPr>
          <w:rFonts w:ascii="Verdana" w:hAnsi="Verdana" w:cs="Times New Roman"/>
          <w:sz w:val="20"/>
          <w:szCs w:val="20"/>
        </w:rPr>
        <w:t>introduci</w:t>
      </w:r>
      <w:r w:rsidR="00F74178" w:rsidRPr="009B2CA6">
        <w:rPr>
          <w:rFonts w:ascii="Verdana" w:hAnsi="Verdana" w:cs="Times New Roman"/>
          <w:sz w:val="20"/>
          <w:szCs w:val="20"/>
        </w:rPr>
        <w:t>r</w:t>
      </w:r>
      <w:r w:rsidR="00AF726D" w:rsidRPr="009B2CA6">
        <w:rPr>
          <w:rFonts w:ascii="Verdana" w:hAnsi="Verdana" w:cs="Times New Roman"/>
          <w:sz w:val="20"/>
          <w:szCs w:val="20"/>
        </w:rPr>
        <w:t xml:space="preserve"> como novedad una disposición, la Regla 44 del Reglamento, que considera que dicho consentimiento</w:t>
      </w:r>
      <w:r w:rsidR="00BF3396">
        <w:rPr>
          <w:rFonts w:ascii="Verdana" w:hAnsi="Verdana" w:cs="Times New Roman"/>
          <w:sz w:val="20"/>
          <w:szCs w:val="20"/>
        </w:rPr>
        <w:t xml:space="preserve"> existe después de transcurridos</w:t>
      </w:r>
      <w:r w:rsidR="00AF726D" w:rsidRPr="009B2CA6">
        <w:rPr>
          <w:rFonts w:ascii="Verdana" w:hAnsi="Verdana" w:cs="Times New Roman"/>
          <w:sz w:val="20"/>
          <w:szCs w:val="20"/>
        </w:rPr>
        <w:t xml:space="preserve"> 60 días si una parte </w:t>
      </w:r>
      <w:r w:rsidR="00AF726D" w:rsidRPr="009B2CA6">
        <w:rPr>
          <w:rFonts w:ascii="Verdana" w:hAnsi="Verdana" w:cs="Times New Roman"/>
          <w:sz w:val="20"/>
          <w:szCs w:val="20"/>
        </w:rPr>
        <w:lastRenderedPageBreak/>
        <w:t>no se opone por escrito</w:t>
      </w:r>
      <w:r w:rsidR="00AF726D" w:rsidRPr="009B2CA6">
        <w:rPr>
          <w:rStyle w:val="Refdenotaalpie"/>
          <w:rFonts w:ascii="Verdana" w:hAnsi="Verdana" w:cs="Times New Roman"/>
          <w:sz w:val="20"/>
          <w:szCs w:val="20"/>
        </w:rPr>
        <w:footnoteReference w:id="31"/>
      </w:r>
      <w:r w:rsidR="00AF726D" w:rsidRPr="009B2CA6">
        <w:rPr>
          <w:rFonts w:ascii="Verdana" w:hAnsi="Verdana" w:cs="Times New Roman"/>
          <w:sz w:val="20"/>
          <w:szCs w:val="20"/>
        </w:rPr>
        <w:t>. Si una parte se opone, el Centro publicará extractos jurídicos</w:t>
      </w:r>
      <w:r w:rsidR="00AF726D" w:rsidRPr="009B2CA6">
        <w:rPr>
          <w:rStyle w:val="Refdenotaalpie"/>
          <w:rFonts w:ascii="Verdana" w:hAnsi="Verdana" w:cs="Times New Roman"/>
          <w:sz w:val="20"/>
          <w:szCs w:val="20"/>
        </w:rPr>
        <w:footnoteReference w:id="32"/>
      </w:r>
      <w:r w:rsidR="00AF726D" w:rsidRPr="009B2CA6">
        <w:rPr>
          <w:rFonts w:ascii="Verdana" w:hAnsi="Verdana" w:cs="Times New Roman"/>
          <w:sz w:val="20"/>
          <w:szCs w:val="20"/>
        </w:rPr>
        <w:t>, como ocurre en la actualidad.</w:t>
      </w:r>
    </w:p>
    <w:p w:rsidR="00A06A7A" w:rsidRPr="009B2CA6" w:rsidRDefault="00A06A7A"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La mayor </w:t>
      </w:r>
      <w:r w:rsidR="00392D3B" w:rsidRPr="009B2CA6">
        <w:rPr>
          <w:rFonts w:ascii="Verdana" w:hAnsi="Verdana" w:cs="Times New Roman"/>
          <w:sz w:val="20"/>
          <w:szCs w:val="20"/>
        </w:rPr>
        <w:t>novedad</w:t>
      </w:r>
      <w:r w:rsidRPr="009B2CA6">
        <w:rPr>
          <w:rFonts w:ascii="Verdana" w:hAnsi="Verdana" w:cs="Times New Roman"/>
          <w:sz w:val="20"/>
          <w:szCs w:val="20"/>
        </w:rPr>
        <w:t xml:space="preserve"> introducida en materia de transparencia en las propuestas de enmiendas presentadas por el CIADI </w:t>
      </w:r>
      <w:r w:rsidR="00F74178" w:rsidRPr="009B2CA6">
        <w:rPr>
          <w:rFonts w:ascii="Verdana" w:hAnsi="Verdana" w:cs="Times New Roman"/>
          <w:sz w:val="20"/>
          <w:szCs w:val="20"/>
        </w:rPr>
        <w:t>se encuentra</w:t>
      </w:r>
      <w:r w:rsidRPr="009B2CA6">
        <w:rPr>
          <w:rFonts w:ascii="Verdana" w:hAnsi="Verdana" w:cs="Times New Roman"/>
          <w:sz w:val="20"/>
          <w:szCs w:val="20"/>
        </w:rPr>
        <w:t xml:space="preserve"> en el Reglamento del Mecanismo Complementario. Estas no se encuentran limitadas por el consentimiento exigido en cuanto a la publicación de los laudos en el Convenio y, por lo tanto, las disposiciones propuestas en el Reglamento de Arbitraje difieren de las recomendadas en el Reglamento del Mecanismo Complementario. La regla propuesta</w:t>
      </w:r>
      <w:r w:rsidR="00C71229" w:rsidRPr="009B2CA6">
        <w:rPr>
          <w:rFonts w:ascii="Verdana" w:hAnsi="Verdana" w:cs="Times New Roman"/>
          <w:sz w:val="20"/>
          <w:szCs w:val="20"/>
        </w:rPr>
        <w:t xml:space="preserve"> en éste último propone que:</w:t>
      </w:r>
      <w:r w:rsidRPr="009B2CA6">
        <w:rPr>
          <w:rFonts w:ascii="Verdana" w:hAnsi="Verdana" w:cs="Times New Roman"/>
          <w:sz w:val="20"/>
          <w:szCs w:val="20"/>
        </w:rPr>
        <w:t xml:space="preserve"> “</w:t>
      </w:r>
      <w:r w:rsidRPr="009B2CA6">
        <w:rPr>
          <w:rFonts w:ascii="Verdana" w:hAnsi="Verdana" w:cs="Times New Roman"/>
          <w:i/>
          <w:sz w:val="20"/>
          <w:szCs w:val="20"/>
        </w:rPr>
        <w:t>El Centro publicará laudos, resoluciones y decisiones dentro de los 60 días siguientes a su emisión, con cualquier supresión de texto que haya sido acordada por las partes y notificada conjuntamente al Centro dentro del plazo de 60 días</w:t>
      </w:r>
      <w:r w:rsidRPr="009B2CA6">
        <w:rPr>
          <w:rFonts w:ascii="Verdana" w:hAnsi="Verdana" w:cs="Times New Roman"/>
          <w:sz w:val="20"/>
          <w:szCs w:val="20"/>
        </w:rPr>
        <w:t>”</w:t>
      </w:r>
      <w:r w:rsidRPr="009B2CA6">
        <w:rPr>
          <w:rStyle w:val="Refdenotaalpie"/>
          <w:rFonts w:ascii="Verdana" w:hAnsi="Verdana" w:cs="Times New Roman"/>
          <w:sz w:val="20"/>
          <w:szCs w:val="20"/>
        </w:rPr>
        <w:footnoteReference w:id="33"/>
      </w:r>
      <w:r w:rsidRPr="009B2CA6">
        <w:rPr>
          <w:rFonts w:ascii="Verdana" w:hAnsi="Verdana" w:cs="Times New Roman"/>
          <w:sz w:val="20"/>
          <w:szCs w:val="20"/>
        </w:rPr>
        <w:t>. La actual propuesta al Mecanismo Complementario del CIADI prevé un umbral mucho más amplio en cuanto a la publicación de los laudos que el pro</w:t>
      </w:r>
      <w:r w:rsidR="00C71229" w:rsidRPr="009B2CA6">
        <w:rPr>
          <w:rFonts w:ascii="Verdana" w:hAnsi="Verdana" w:cs="Times New Roman"/>
          <w:sz w:val="20"/>
          <w:szCs w:val="20"/>
        </w:rPr>
        <w:t>puesto en el</w:t>
      </w:r>
      <w:r w:rsidR="00912604" w:rsidRPr="009B2CA6">
        <w:rPr>
          <w:rFonts w:ascii="Verdana" w:hAnsi="Verdana" w:cs="Times New Roman"/>
          <w:sz w:val="20"/>
          <w:szCs w:val="20"/>
        </w:rPr>
        <w:t xml:space="preserve"> </w:t>
      </w:r>
      <w:r w:rsidR="00300838" w:rsidRPr="009B2CA6">
        <w:rPr>
          <w:rFonts w:ascii="Verdana" w:hAnsi="Verdana" w:cs="Times New Roman"/>
          <w:sz w:val="20"/>
          <w:szCs w:val="20"/>
        </w:rPr>
        <w:t xml:space="preserve">propio </w:t>
      </w:r>
      <w:r w:rsidR="00912604" w:rsidRPr="009B2CA6">
        <w:rPr>
          <w:rFonts w:ascii="Verdana" w:hAnsi="Verdana" w:cs="Times New Roman"/>
          <w:sz w:val="20"/>
          <w:szCs w:val="20"/>
        </w:rPr>
        <w:t>Reglamento</w:t>
      </w:r>
      <w:r w:rsidR="00300838" w:rsidRPr="009B2CA6">
        <w:rPr>
          <w:rFonts w:ascii="Verdana" w:hAnsi="Verdana" w:cs="Times New Roman"/>
          <w:sz w:val="20"/>
          <w:szCs w:val="20"/>
        </w:rPr>
        <w:t xml:space="preserve"> de arbitraje</w:t>
      </w:r>
      <w:r w:rsidR="00912604" w:rsidRPr="009B2CA6">
        <w:rPr>
          <w:rFonts w:ascii="Verdana" w:hAnsi="Verdana" w:cs="Times New Roman"/>
          <w:sz w:val="20"/>
          <w:szCs w:val="20"/>
        </w:rPr>
        <w:t>, con la única excepción de la supresión de</w:t>
      </w:r>
      <w:r w:rsidR="00F74178" w:rsidRPr="009B2CA6">
        <w:rPr>
          <w:rFonts w:ascii="Verdana" w:hAnsi="Verdana" w:cs="Times New Roman"/>
          <w:sz w:val="20"/>
          <w:szCs w:val="20"/>
        </w:rPr>
        <w:t xml:space="preserve"> parte del</w:t>
      </w:r>
      <w:r w:rsidR="00912604" w:rsidRPr="009B2CA6">
        <w:rPr>
          <w:rFonts w:ascii="Verdana" w:hAnsi="Verdana" w:cs="Times New Roman"/>
          <w:sz w:val="20"/>
          <w:szCs w:val="20"/>
        </w:rPr>
        <w:t xml:space="preserve"> texto</w:t>
      </w:r>
      <w:r w:rsidR="00F74178" w:rsidRPr="009B2CA6">
        <w:rPr>
          <w:rFonts w:ascii="Verdana" w:hAnsi="Verdana" w:cs="Times New Roman"/>
          <w:sz w:val="20"/>
          <w:szCs w:val="20"/>
        </w:rPr>
        <w:t xml:space="preserve"> del propio laudo que se considere no necesario su publicación</w:t>
      </w:r>
      <w:r w:rsidR="00912604" w:rsidRPr="009B2CA6">
        <w:rPr>
          <w:rFonts w:ascii="Verdana" w:hAnsi="Verdana" w:cs="Times New Roman"/>
          <w:sz w:val="20"/>
          <w:szCs w:val="20"/>
        </w:rPr>
        <w:t xml:space="preserve">. En caso de no </w:t>
      </w:r>
      <w:r w:rsidR="002F17B7" w:rsidRPr="009B2CA6">
        <w:rPr>
          <w:rFonts w:ascii="Verdana" w:hAnsi="Verdana" w:cs="Times New Roman"/>
          <w:sz w:val="20"/>
          <w:szCs w:val="20"/>
        </w:rPr>
        <w:t>existir</w:t>
      </w:r>
      <w:r w:rsidR="00912604" w:rsidRPr="009B2CA6">
        <w:rPr>
          <w:rFonts w:ascii="Verdana" w:hAnsi="Verdana" w:cs="Times New Roman"/>
          <w:sz w:val="20"/>
          <w:szCs w:val="20"/>
        </w:rPr>
        <w:t xml:space="preserve"> un acuerdo entre las partes en relación con la supresión de texto, la decisión final recae en el Tribunal. </w:t>
      </w:r>
    </w:p>
    <w:p w:rsidR="005D200C" w:rsidRDefault="005D200C" w:rsidP="006D3AD5">
      <w:pPr>
        <w:pStyle w:val="Contenidodelatabla"/>
        <w:spacing w:line="240" w:lineRule="auto"/>
        <w:rPr>
          <w:rFonts w:ascii="Times New Roman" w:hAnsi="Times New Roman" w:cs="Times New Roman"/>
          <w:sz w:val="24"/>
          <w:szCs w:val="24"/>
        </w:rPr>
      </w:pPr>
    </w:p>
    <w:p w:rsidR="00976C59" w:rsidRPr="009B2CA6" w:rsidRDefault="00D80F1A" w:rsidP="006D3AD5">
      <w:pPr>
        <w:pStyle w:val="Contenidodelatabla"/>
        <w:spacing w:line="240" w:lineRule="auto"/>
        <w:ind w:firstLine="0"/>
        <w:outlineLvl w:val="2"/>
        <w:rPr>
          <w:rFonts w:ascii="Verdana" w:hAnsi="Verdana" w:cs="Times New Roman"/>
          <w:b/>
          <w:sz w:val="20"/>
          <w:szCs w:val="20"/>
        </w:rPr>
      </w:pPr>
      <w:bookmarkStart w:id="14" w:name="_Toc536741915"/>
      <w:bookmarkStart w:id="15" w:name="_Toc1224437"/>
      <w:r w:rsidRPr="009B2CA6">
        <w:rPr>
          <w:rFonts w:ascii="Verdana" w:hAnsi="Verdana" w:cs="Times New Roman"/>
          <w:b/>
          <w:sz w:val="20"/>
          <w:szCs w:val="20"/>
        </w:rPr>
        <w:t>4</w:t>
      </w:r>
      <w:r w:rsidR="00AA3DB0">
        <w:rPr>
          <w:rFonts w:ascii="Verdana" w:hAnsi="Verdana" w:cs="Times New Roman"/>
          <w:b/>
          <w:sz w:val="20"/>
          <w:szCs w:val="20"/>
        </w:rPr>
        <w:t>.</w:t>
      </w:r>
      <w:r w:rsidR="00E031FD" w:rsidRPr="009B2CA6">
        <w:rPr>
          <w:rFonts w:ascii="Verdana" w:hAnsi="Verdana" w:cs="Times New Roman"/>
          <w:b/>
          <w:sz w:val="20"/>
          <w:szCs w:val="20"/>
        </w:rPr>
        <w:t xml:space="preserve"> La transparencia en las reglas</w:t>
      </w:r>
      <w:r w:rsidR="00976C59" w:rsidRPr="009B2CA6">
        <w:rPr>
          <w:rFonts w:ascii="Verdana" w:hAnsi="Verdana" w:cs="Times New Roman"/>
          <w:b/>
          <w:sz w:val="20"/>
          <w:szCs w:val="20"/>
        </w:rPr>
        <w:t xml:space="preserve"> de arbitraje de la CNUDMI:</w:t>
      </w:r>
      <w:r w:rsidR="00E031FD" w:rsidRPr="009B2CA6">
        <w:rPr>
          <w:rFonts w:ascii="Verdana" w:hAnsi="Verdana" w:cs="Times New Roman"/>
          <w:b/>
          <w:sz w:val="20"/>
          <w:szCs w:val="20"/>
        </w:rPr>
        <w:t xml:space="preserve"> </w:t>
      </w:r>
      <w:r w:rsidR="00365A38">
        <w:rPr>
          <w:rFonts w:ascii="Verdana" w:hAnsi="Verdana" w:cs="Times New Roman"/>
          <w:b/>
          <w:sz w:val="20"/>
          <w:szCs w:val="20"/>
        </w:rPr>
        <w:t xml:space="preserve">especial referencia al </w:t>
      </w:r>
      <w:r w:rsidR="00976C59" w:rsidRPr="009B2CA6">
        <w:rPr>
          <w:rFonts w:ascii="Verdana" w:hAnsi="Verdana" w:cs="Times New Roman"/>
          <w:b/>
          <w:sz w:val="20"/>
          <w:szCs w:val="20"/>
        </w:rPr>
        <w:t xml:space="preserve">Reglamento sobre </w:t>
      </w:r>
      <w:r w:rsidR="00DF2C68" w:rsidRPr="009B2CA6">
        <w:rPr>
          <w:rFonts w:ascii="Verdana" w:hAnsi="Verdana" w:cs="Times New Roman"/>
          <w:b/>
          <w:sz w:val="20"/>
          <w:szCs w:val="20"/>
        </w:rPr>
        <w:t xml:space="preserve">la </w:t>
      </w:r>
      <w:r w:rsidR="00976C59" w:rsidRPr="009B2CA6">
        <w:rPr>
          <w:rFonts w:ascii="Verdana" w:hAnsi="Verdana" w:cs="Times New Roman"/>
          <w:b/>
          <w:sz w:val="20"/>
          <w:szCs w:val="20"/>
        </w:rPr>
        <w:t xml:space="preserve">Transparencia </w:t>
      </w:r>
      <w:r w:rsidR="00541287">
        <w:rPr>
          <w:rFonts w:ascii="Verdana" w:hAnsi="Verdana" w:cs="Times New Roman"/>
          <w:b/>
          <w:sz w:val="20"/>
          <w:szCs w:val="20"/>
        </w:rPr>
        <w:t>en el arbitraje inversionista-Estado</w:t>
      </w:r>
      <w:r w:rsidR="00976C59" w:rsidRPr="009B2CA6">
        <w:rPr>
          <w:rFonts w:ascii="Verdana" w:hAnsi="Verdana" w:cs="Times New Roman"/>
          <w:b/>
          <w:sz w:val="20"/>
          <w:szCs w:val="20"/>
        </w:rPr>
        <w:t>.</w:t>
      </w:r>
      <w:bookmarkEnd w:id="14"/>
      <w:bookmarkEnd w:id="15"/>
      <w:r w:rsidR="00976C59" w:rsidRPr="009B2CA6">
        <w:rPr>
          <w:rFonts w:ascii="Verdana" w:hAnsi="Verdana" w:cs="Times New Roman"/>
          <w:b/>
          <w:sz w:val="20"/>
          <w:szCs w:val="20"/>
        </w:rPr>
        <w:t xml:space="preserve"> </w:t>
      </w:r>
    </w:p>
    <w:p w:rsidR="00EC2E17" w:rsidRPr="009B2CA6" w:rsidRDefault="00E84F08"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Anterior a la adopción de las Reglas sobre la</w:t>
      </w:r>
      <w:r w:rsidR="00EC2E17" w:rsidRPr="009B2CA6">
        <w:rPr>
          <w:rFonts w:ascii="Verdana" w:hAnsi="Verdana" w:cs="Times New Roman"/>
          <w:sz w:val="20"/>
          <w:szCs w:val="20"/>
        </w:rPr>
        <w:t xml:space="preserve"> transparencia</w:t>
      </w:r>
      <w:r w:rsidR="00D64674" w:rsidRPr="009B2CA6">
        <w:rPr>
          <w:rFonts w:ascii="Verdana" w:hAnsi="Verdana" w:cs="Times New Roman"/>
          <w:sz w:val="20"/>
          <w:szCs w:val="20"/>
        </w:rPr>
        <w:t xml:space="preserve"> en el arbitraje de inversiones</w:t>
      </w:r>
      <w:r w:rsidR="00EC2E17" w:rsidRPr="009B2CA6">
        <w:rPr>
          <w:rFonts w:ascii="Verdana" w:hAnsi="Verdana" w:cs="Times New Roman"/>
          <w:sz w:val="20"/>
          <w:szCs w:val="20"/>
        </w:rPr>
        <w:t>, el Reglamento de Arbitraje de la CNUDMI</w:t>
      </w:r>
      <w:r w:rsidR="000406FF" w:rsidRPr="009B2CA6">
        <w:rPr>
          <w:rFonts w:ascii="Verdana" w:hAnsi="Verdana" w:cs="Times New Roman"/>
          <w:sz w:val="20"/>
          <w:szCs w:val="20"/>
        </w:rPr>
        <w:t xml:space="preserve"> contenía en sus disposiciones muy poca</w:t>
      </w:r>
      <w:r w:rsidRPr="009B2CA6">
        <w:rPr>
          <w:rFonts w:ascii="Verdana" w:hAnsi="Verdana" w:cs="Times New Roman"/>
          <w:sz w:val="20"/>
          <w:szCs w:val="20"/>
        </w:rPr>
        <w:t>s</w:t>
      </w:r>
      <w:r w:rsidR="000406FF" w:rsidRPr="009B2CA6">
        <w:rPr>
          <w:rFonts w:ascii="Verdana" w:hAnsi="Verdana" w:cs="Times New Roman"/>
          <w:sz w:val="20"/>
          <w:szCs w:val="20"/>
        </w:rPr>
        <w:t xml:space="preserve"> referencias a la transparencia en el procedimiento arbitral en comparación con las enmiendas del CIADI del 2006</w:t>
      </w:r>
      <w:r w:rsidRPr="009B2CA6">
        <w:rPr>
          <w:rFonts w:ascii="Verdana" w:hAnsi="Verdana" w:cs="Times New Roman"/>
          <w:sz w:val="20"/>
          <w:szCs w:val="20"/>
        </w:rPr>
        <w:t xml:space="preserve">. </w:t>
      </w:r>
      <w:r w:rsidR="00E32254" w:rsidRPr="009B2CA6">
        <w:rPr>
          <w:rFonts w:ascii="Verdana" w:hAnsi="Verdana" w:cs="Times New Roman"/>
          <w:sz w:val="20"/>
          <w:szCs w:val="20"/>
        </w:rPr>
        <w:t>Con una lectura de las actuales reglas de la CNUDMI del 2010, podemos constatar la laguna existente en cuanto a la regulación de la transparencia, solo se hace mención a la publicación del laudo en el Art. 34(5) al establecer: “</w:t>
      </w:r>
      <w:r w:rsidR="00E32254" w:rsidRPr="009B2CA6">
        <w:rPr>
          <w:rFonts w:ascii="Verdana" w:hAnsi="Verdana" w:cs="Times New Roman"/>
          <w:i/>
          <w:sz w:val="20"/>
          <w:szCs w:val="20"/>
        </w:rPr>
        <w:t>Podrá hacerse público el laudo con el consentimiento de las partes o cuando una parte tenga la obligación jurídica de darlo a conocer para proteger o ejercer un derecho, y en la medida en que así sea, o con motivo de un procedimiento legal ante un tribunal u otra autoridad competente</w:t>
      </w:r>
      <w:r w:rsidR="00E32254" w:rsidRPr="009B2CA6">
        <w:rPr>
          <w:rFonts w:ascii="Verdana" w:hAnsi="Verdana" w:cs="Times New Roman"/>
          <w:sz w:val="20"/>
          <w:szCs w:val="20"/>
        </w:rPr>
        <w:t>”</w:t>
      </w:r>
      <w:r w:rsidR="00E32254" w:rsidRPr="009B2CA6">
        <w:rPr>
          <w:rStyle w:val="Refdenotaalpie"/>
          <w:rFonts w:ascii="Verdana" w:hAnsi="Verdana" w:cs="Times New Roman"/>
          <w:sz w:val="20"/>
          <w:szCs w:val="20"/>
        </w:rPr>
        <w:t xml:space="preserve"> </w:t>
      </w:r>
      <w:r w:rsidR="00E32254" w:rsidRPr="009B2CA6">
        <w:rPr>
          <w:rStyle w:val="Refdenotaalpie"/>
          <w:rFonts w:ascii="Verdana" w:hAnsi="Verdana" w:cs="Times New Roman"/>
          <w:sz w:val="20"/>
          <w:szCs w:val="20"/>
        </w:rPr>
        <w:footnoteReference w:id="34"/>
      </w:r>
      <w:r w:rsidR="00E32254" w:rsidRPr="009B2CA6">
        <w:rPr>
          <w:rFonts w:ascii="Verdana" w:hAnsi="Verdana" w:cs="Times New Roman"/>
          <w:sz w:val="20"/>
          <w:szCs w:val="20"/>
        </w:rPr>
        <w:t xml:space="preserve">. </w:t>
      </w:r>
      <w:r w:rsidRPr="009B2CA6">
        <w:rPr>
          <w:rFonts w:ascii="Verdana" w:hAnsi="Verdana" w:cs="Times New Roman"/>
          <w:sz w:val="20"/>
          <w:szCs w:val="20"/>
        </w:rPr>
        <w:t>Generalmente,</w:t>
      </w:r>
      <w:r w:rsidR="000406FF" w:rsidRPr="009B2CA6">
        <w:rPr>
          <w:rFonts w:ascii="Verdana" w:hAnsi="Verdana" w:cs="Times New Roman"/>
          <w:sz w:val="20"/>
          <w:szCs w:val="20"/>
        </w:rPr>
        <w:t xml:space="preserve"> las audiencias eran cerradas al público, no se permitía la divulgación de la documentación o el laudo, ni se admitía en su totalida</w:t>
      </w:r>
      <w:r w:rsidRPr="009B2CA6">
        <w:rPr>
          <w:rFonts w:ascii="Verdana" w:hAnsi="Verdana" w:cs="Times New Roman"/>
          <w:sz w:val="20"/>
          <w:szCs w:val="20"/>
        </w:rPr>
        <w:t>d la participación de terceros E</w:t>
      </w:r>
      <w:r w:rsidR="000406FF" w:rsidRPr="009B2CA6">
        <w:rPr>
          <w:rFonts w:ascii="Verdana" w:hAnsi="Verdana" w:cs="Times New Roman"/>
          <w:sz w:val="20"/>
          <w:szCs w:val="20"/>
        </w:rPr>
        <w:t>stados en el procedimiento. Es con la adopción del Reglamento sobre la Transparencia que las Reglas de Arbitraje de la CNUDMI, con</w:t>
      </w:r>
      <w:r w:rsidRPr="009B2CA6">
        <w:rPr>
          <w:rFonts w:ascii="Verdana" w:hAnsi="Verdana" w:cs="Times New Roman"/>
          <w:sz w:val="20"/>
          <w:szCs w:val="20"/>
        </w:rPr>
        <w:t xml:space="preserve"> la incorporación</w:t>
      </w:r>
      <w:r w:rsidR="000406FF" w:rsidRPr="009B2CA6">
        <w:rPr>
          <w:rFonts w:ascii="Verdana" w:hAnsi="Verdana" w:cs="Times New Roman"/>
          <w:sz w:val="20"/>
          <w:szCs w:val="20"/>
        </w:rPr>
        <w:t xml:space="preserve"> del nuevo </w:t>
      </w:r>
      <w:r w:rsidRPr="009B2CA6">
        <w:rPr>
          <w:rFonts w:ascii="Verdana" w:hAnsi="Verdana" w:cs="Times New Roman"/>
          <w:sz w:val="20"/>
          <w:szCs w:val="20"/>
        </w:rPr>
        <w:t xml:space="preserve">artículo </w:t>
      </w:r>
      <w:r w:rsidR="002979E3" w:rsidRPr="009B2CA6">
        <w:rPr>
          <w:rFonts w:ascii="Verdana" w:hAnsi="Verdana" w:cs="Times New Roman"/>
          <w:sz w:val="20"/>
          <w:szCs w:val="20"/>
        </w:rPr>
        <w:t>4 que hace una incorporación por referencia del Reglamento sobre la Transparencia en los arbitraje entre inversionista y Estados entablados de conformidad con un tratado</w:t>
      </w:r>
      <w:r w:rsidR="002979E3" w:rsidRPr="009B2CA6">
        <w:rPr>
          <w:rStyle w:val="Refdenotaalpie"/>
          <w:rFonts w:ascii="Verdana" w:hAnsi="Verdana" w:cs="Times New Roman"/>
          <w:sz w:val="20"/>
          <w:szCs w:val="20"/>
        </w:rPr>
        <w:footnoteReference w:id="35"/>
      </w:r>
      <w:r w:rsidR="002979E3" w:rsidRPr="009B2CA6">
        <w:rPr>
          <w:rFonts w:ascii="Verdana" w:hAnsi="Verdana" w:cs="Times New Roman"/>
          <w:sz w:val="20"/>
          <w:szCs w:val="20"/>
        </w:rPr>
        <w:t>, que</w:t>
      </w:r>
      <w:r w:rsidR="000406FF" w:rsidRPr="009B2CA6">
        <w:rPr>
          <w:rFonts w:ascii="Verdana" w:hAnsi="Verdana" w:cs="Times New Roman"/>
          <w:sz w:val="20"/>
          <w:szCs w:val="20"/>
        </w:rPr>
        <w:t xml:space="preserve"> permiten una mayor transparenc</w:t>
      </w:r>
      <w:r w:rsidR="002979E3" w:rsidRPr="009B2CA6">
        <w:rPr>
          <w:rFonts w:ascii="Verdana" w:hAnsi="Verdana" w:cs="Times New Roman"/>
          <w:sz w:val="20"/>
          <w:szCs w:val="20"/>
        </w:rPr>
        <w:t xml:space="preserve">ia en el proceso arbitral. </w:t>
      </w:r>
    </w:p>
    <w:p w:rsidR="007249F6" w:rsidRPr="009B2CA6" w:rsidRDefault="0015234C"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El nuevo Reglamento sobre </w:t>
      </w:r>
      <w:r w:rsidR="00A87E82" w:rsidRPr="009B2CA6">
        <w:rPr>
          <w:rFonts w:ascii="Verdana" w:hAnsi="Verdana" w:cs="Times New Roman"/>
          <w:sz w:val="20"/>
          <w:szCs w:val="20"/>
        </w:rPr>
        <w:t xml:space="preserve">la </w:t>
      </w:r>
      <w:r w:rsidRPr="009B2CA6">
        <w:rPr>
          <w:rFonts w:ascii="Verdana" w:hAnsi="Verdana" w:cs="Times New Roman"/>
          <w:sz w:val="20"/>
          <w:szCs w:val="20"/>
        </w:rPr>
        <w:t>Transparencia</w:t>
      </w:r>
      <w:r w:rsidR="000D4D09" w:rsidRPr="009B2CA6">
        <w:rPr>
          <w:rFonts w:ascii="Verdana" w:hAnsi="Verdana" w:cs="Times New Roman"/>
          <w:sz w:val="20"/>
          <w:szCs w:val="20"/>
        </w:rPr>
        <w:t>,</w:t>
      </w:r>
      <w:r w:rsidRPr="009B2CA6">
        <w:rPr>
          <w:rFonts w:ascii="Verdana" w:hAnsi="Verdana" w:cs="Times New Roman"/>
          <w:sz w:val="20"/>
          <w:szCs w:val="20"/>
        </w:rPr>
        <w:t xml:space="preserve"> con el fin de garantizar una mayor transparencia en el arbitraje inversionista-Estado durante todo el proceso</w:t>
      </w:r>
      <w:r w:rsidR="00F601F4" w:rsidRPr="009B2CA6">
        <w:rPr>
          <w:rFonts w:ascii="Verdana" w:hAnsi="Verdana" w:cs="Times New Roman"/>
          <w:sz w:val="20"/>
          <w:szCs w:val="20"/>
        </w:rPr>
        <w:t>,</w:t>
      </w:r>
      <w:r w:rsidR="00DF023B" w:rsidRPr="009B2CA6">
        <w:rPr>
          <w:rFonts w:ascii="Verdana" w:hAnsi="Verdana" w:cs="Times New Roman"/>
          <w:sz w:val="20"/>
          <w:szCs w:val="20"/>
        </w:rPr>
        <w:t xml:space="preserve"> prevé una apertura del procedimiento arbitral y reemplaza a la anterior norma sancionadora de la CNUDMI que permitía, escasamente, la no publicidad de los procedimientos arbitrales, el </w:t>
      </w:r>
      <w:r w:rsidR="00DF023B" w:rsidRPr="009B2CA6">
        <w:rPr>
          <w:rFonts w:ascii="Verdana" w:hAnsi="Verdana" w:cs="Times New Roman"/>
          <w:sz w:val="20"/>
          <w:szCs w:val="20"/>
        </w:rPr>
        <w:lastRenderedPageBreak/>
        <w:t xml:space="preserve">no conocimiento público de </w:t>
      </w:r>
      <w:r w:rsidR="000D4D09" w:rsidRPr="009B2CA6">
        <w:rPr>
          <w:rFonts w:ascii="Verdana" w:hAnsi="Verdana" w:cs="Times New Roman"/>
          <w:sz w:val="20"/>
          <w:szCs w:val="20"/>
        </w:rPr>
        <w:t>éstos</w:t>
      </w:r>
      <w:r w:rsidR="00DF023B" w:rsidRPr="009B2CA6">
        <w:rPr>
          <w:rStyle w:val="Refdenotaalpie"/>
          <w:rFonts w:ascii="Verdana" w:hAnsi="Verdana" w:cs="Times New Roman"/>
          <w:sz w:val="20"/>
          <w:szCs w:val="20"/>
        </w:rPr>
        <w:footnoteReference w:id="36"/>
      </w:r>
      <w:r w:rsidR="00982E2C" w:rsidRPr="009B2CA6">
        <w:rPr>
          <w:rFonts w:ascii="Verdana" w:hAnsi="Verdana" w:cs="Times New Roman"/>
          <w:sz w:val="20"/>
          <w:szCs w:val="20"/>
        </w:rPr>
        <w:t xml:space="preserve">. </w:t>
      </w:r>
      <w:r w:rsidR="00FD5486" w:rsidRPr="009B2CA6">
        <w:rPr>
          <w:rFonts w:ascii="Verdana" w:hAnsi="Verdana" w:cs="Times New Roman"/>
          <w:sz w:val="20"/>
          <w:szCs w:val="20"/>
        </w:rPr>
        <w:t>El mismo c</w:t>
      </w:r>
      <w:r w:rsidR="00982E2C" w:rsidRPr="009B2CA6">
        <w:rPr>
          <w:rFonts w:ascii="Verdana" w:hAnsi="Verdana" w:cs="Times New Roman"/>
          <w:sz w:val="20"/>
          <w:szCs w:val="20"/>
        </w:rPr>
        <w:t xml:space="preserve">onstituye el primer ejemplo de regulación integral de la transparencia obligatoria como parte de las normas </w:t>
      </w:r>
      <w:r w:rsidR="00982E2C" w:rsidRPr="009B2CA6">
        <w:rPr>
          <w:rFonts w:ascii="Verdana" w:hAnsi="Verdana" w:cs="Times New Roman"/>
          <w:i/>
          <w:sz w:val="20"/>
          <w:szCs w:val="20"/>
        </w:rPr>
        <w:t>ad hoc</w:t>
      </w:r>
      <w:r w:rsidR="00982E2C" w:rsidRPr="009B2CA6">
        <w:rPr>
          <w:rFonts w:ascii="Verdana" w:hAnsi="Verdana" w:cs="Times New Roman"/>
          <w:sz w:val="20"/>
          <w:szCs w:val="20"/>
        </w:rPr>
        <w:t xml:space="preserve"> o institucionales aplicables al arbitraje sobre tratados de inversión. </w:t>
      </w:r>
    </w:p>
    <w:p w:rsidR="00AE3E6F" w:rsidRPr="009B2CA6" w:rsidRDefault="00E84F08"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En comparación con las </w:t>
      </w:r>
      <w:r w:rsidR="007767C8" w:rsidRPr="009B2CA6">
        <w:rPr>
          <w:rFonts w:ascii="Verdana" w:hAnsi="Verdana" w:cs="Times New Roman"/>
          <w:sz w:val="20"/>
          <w:szCs w:val="20"/>
        </w:rPr>
        <w:t xml:space="preserve">enmiendas realizadas a las reglas del CIADI en 2006, </w:t>
      </w:r>
      <w:r w:rsidRPr="009B2CA6">
        <w:rPr>
          <w:rFonts w:ascii="Verdana" w:hAnsi="Verdana" w:cs="Times New Roman"/>
          <w:sz w:val="20"/>
          <w:szCs w:val="20"/>
        </w:rPr>
        <w:t xml:space="preserve">que </w:t>
      </w:r>
      <w:r w:rsidR="007767C8" w:rsidRPr="009B2CA6">
        <w:rPr>
          <w:rFonts w:ascii="Verdana" w:hAnsi="Verdana" w:cs="Times New Roman"/>
          <w:sz w:val="20"/>
          <w:szCs w:val="20"/>
        </w:rPr>
        <w:t>permite</w:t>
      </w:r>
      <w:r w:rsidR="002035DB" w:rsidRPr="009B2CA6">
        <w:rPr>
          <w:rFonts w:ascii="Verdana" w:hAnsi="Verdana" w:cs="Times New Roman"/>
          <w:sz w:val="20"/>
          <w:szCs w:val="20"/>
        </w:rPr>
        <w:t>n sustancialmente</w:t>
      </w:r>
      <w:r w:rsidR="007767C8" w:rsidRPr="009B2CA6">
        <w:rPr>
          <w:rFonts w:ascii="Verdana" w:hAnsi="Verdana" w:cs="Times New Roman"/>
          <w:sz w:val="20"/>
          <w:szCs w:val="20"/>
        </w:rPr>
        <w:t xml:space="preserve"> cierta transparencia</w:t>
      </w:r>
      <w:r w:rsidR="002035DB" w:rsidRPr="009B2CA6">
        <w:rPr>
          <w:rFonts w:ascii="Verdana" w:hAnsi="Verdana" w:cs="Times New Roman"/>
          <w:sz w:val="20"/>
          <w:szCs w:val="20"/>
        </w:rPr>
        <w:t xml:space="preserve"> a las partes</w:t>
      </w:r>
      <w:r w:rsidR="007767C8" w:rsidRPr="009B2CA6">
        <w:rPr>
          <w:rFonts w:ascii="Verdana" w:hAnsi="Verdana" w:cs="Times New Roman"/>
          <w:sz w:val="20"/>
          <w:szCs w:val="20"/>
        </w:rPr>
        <w:t xml:space="preserve"> en los procedimientos </w:t>
      </w:r>
      <w:r w:rsidR="00053FB3" w:rsidRPr="009B2CA6">
        <w:rPr>
          <w:rFonts w:ascii="Verdana" w:hAnsi="Verdana" w:cs="Times New Roman"/>
          <w:sz w:val="20"/>
          <w:szCs w:val="20"/>
        </w:rPr>
        <w:t>arbitrales, las</w:t>
      </w:r>
      <w:r w:rsidRPr="009B2CA6">
        <w:rPr>
          <w:rFonts w:ascii="Verdana" w:hAnsi="Verdana" w:cs="Times New Roman"/>
          <w:sz w:val="20"/>
          <w:szCs w:val="20"/>
        </w:rPr>
        <w:t xml:space="preserve"> R</w:t>
      </w:r>
      <w:r w:rsidR="007249F6" w:rsidRPr="009B2CA6">
        <w:rPr>
          <w:rFonts w:ascii="Verdana" w:hAnsi="Verdana" w:cs="Times New Roman"/>
          <w:sz w:val="20"/>
          <w:szCs w:val="20"/>
        </w:rPr>
        <w:t xml:space="preserve">eglas </w:t>
      </w:r>
      <w:r w:rsidRPr="009B2CA6">
        <w:rPr>
          <w:rFonts w:ascii="Verdana" w:hAnsi="Verdana" w:cs="Times New Roman"/>
          <w:sz w:val="20"/>
          <w:szCs w:val="20"/>
        </w:rPr>
        <w:t>sobre la T</w:t>
      </w:r>
      <w:r w:rsidR="000D4D09" w:rsidRPr="009B2CA6">
        <w:rPr>
          <w:rFonts w:ascii="Verdana" w:hAnsi="Verdana" w:cs="Times New Roman"/>
          <w:sz w:val="20"/>
          <w:szCs w:val="20"/>
        </w:rPr>
        <w:t>ransparencia</w:t>
      </w:r>
      <w:r w:rsidR="007249F6" w:rsidRPr="009B2CA6">
        <w:rPr>
          <w:rFonts w:ascii="Verdana" w:hAnsi="Verdana" w:cs="Times New Roman"/>
          <w:sz w:val="20"/>
          <w:szCs w:val="20"/>
        </w:rPr>
        <w:t xml:space="preserve"> de la CNUDMI distan mucho de las reglas del CIADI, </w:t>
      </w:r>
      <w:r w:rsidR="00DD055C" w:rsidRPr="009B2CA6">
        <w:rPr>
          <w:rFonts w:ascii="Verdana" w:hAnsi="Verdana" w:cs="Times New Roman"/>
          <w:sz w:val="20"/>
          <w:szCs w:val="20"/>
        </w:rPr>
        <w:t xml:space="preserve">y </w:t>
      </w:r>
      <w:r w:rsidR="007249F6" w:rsidRPr="009B2CA6">
        <w:rPr>
          <w:rFonts w:ascii="Verdana" w:hAnsi="Verdana" w:cs="Times New Roman"/>
          <w:sz w:val="20"/>
          <w:szCs w:val="20"/>
        </w:rPr>
        <w:t>dan un paso más allá en la búsqueda de una mayor transparencia en el proce</w:t>
      </w:r>
      <w:r w:rsidR="000D4D09" w:rsidRPr="009B2CA6">
        <w:rPr>
          <w:rFonts w:ascii="Verdana" w:hAnsi="Verdana" w:cs="Times New Roman"/>
          <w:sz w:val="20"/>
          <w:szCs w:val="20"/>
        </w:rPr>
        <w:t>dimiento arbitral. Tanto es así</w:t>
      </w:r>
      <w:r w:rsidR="007249F6" w:rsidRPr="009B2CA6">
        <w:rPr>
          <w:rFonts w:ascii="Verdana" w:hAnsi="Verdana" w:cs="Times New Roman"/>
          <w:sz w:val="20"/>
          <w:szCs w:val="20"/>
        </w:rPr>
        <w:t xml:space="preserve"> que proporcionan a las partes el acceso público a los documentos durante el proceso, incluyendo las presentaciones de las partes, con excepción de aquellos casos en los que el acceso debe ser restringido</w:t>
      </w:r>
      <w:r w:rsidRPr="009B2CA6">
        <w:rPr>
          <w:rFonts w:ascii="Verdana" w:hAnsi="Verdana" w:cs="Times New Roman"/>
          <w:sz w:val="20"/>
          <w:szCs w:val="20"/>
        </w:rPr>
        <w:t>,</w:t>
      </w:r>
      <w:r w:rsidR="007249F6" w:rsidRPr="009B2CA6">
        <w:rPr>
          <w:rFonts w:ascii="Verdana" w:hAnsi="Verdana" w:cs="Times New Roman"/>
          <w:sz w:val="20"/>
          <w:szCs w:val="20"/>
        </w:rPr>
        <w:t xml:space="preserve"> teniendo en cuenta la existencia de información confidencial o </w:t>
      </w:r>
      <w:r w:rsidR="007E2728" w:rsidRPr="009B2CA6">
        <w:rPr>
          <w:rFonts w:ascii="Verdana" w:hAnsi="Verdana" w:cs="Times New Roman"/>
          <w:sz w:val="20"/>
          <w:szCs w:val="20"/>
        </w:rPr>
        <w:t xml:space="preserve">por </w:t>
      </w:r>
      <w:r w:rsidR="007249F6" w:rsidRPr="009B2CA6">
        <w:rPr>
          <w:rFonts w:ascii="Verdana" w:hAnsi="Verdana" w:cs="Times New Roman"/>
          <w:sz w:val="20"/>
          <w:szCs w:val="20"/>
        </w:rPr>
        <w:t>preserva</w:t>
      </w:r>
      <w:r w:rsidR="007E2728" w:rsidRPr="009B2CA6">
        <w:rPr>
          <w:rFonts w:ascii="Verdana" w:hAnsi="Verdana" w:cs="Times New Roman"/>
          <w:sz w:val="20"/>
          <w:szCs w:val="20"/>
        </w:rPr>
        <w:t>r</w:t>
      </w:r>
      <w:r w:rsidR="007249F6" w:rsidRPr="009B2CA6">
        <w:rPr>
          <w:rFonts w:ascii="Verdana" w:hAnsi="Verdana" w:cs="Times New Roman"/>
          <w:sz w:val="20"/>
          <w:szCs w:val="20"/>
        </w:rPr>
        <w:t xml:space="preserve"> la integridad del proceso arbitral.</w:t>
      </w:r>
      <w:r w:rsidR="009C0BE9" w:rsidRPr="009B2CA6">
        <w:rPr>
          <w:rFonts w:ascii="Verdana" w:hAnsi="Verdana" w:cs="Times New Roman"/>
          <w:sz w:val="20"/>
          <w:szCs w:val="20"/>
        </w:rPr>
        <w:t xml:space="preserve"> </w:t>
      </w:r>
      <w:r w:rsidRPr="009B2CA6">
        <w:rPr>
          <w:rFonts w:ascii="Verdana" w:hAnsi="Verdana" w:cs="Times New Roman"/>
          <w:sz w:val="20"/>
          <w:szCs w:val="20"/>
        </w:rPr>
        <w:t>Las Reglas sobre la</w:t>
      </w:r>
      <w:r w:rsidR="002035DB" w:rsidRPr="009B2CA6">
        <w:rPr>
          <w:rFonts w:ascii="Verdana" w:hAnsi="Verdana" w:cs="Times New Roman"/>
          <w:sz w:val="20"/>
          <w:szCs w:val="20"/>
        </w:rPr>
        <w:t xml:space="preserve"> </w:t>
      </w:r>
      <w:r w:rsidRPr="009B2CA6">
        <w:rPr>
          <w:rFonts w:ascii="Verdana" w:hAnsi="Verdana" w:cs="Times New Roman"/>
          <w:sz w:val="20"/>
          <w:szCs w:val="20"/>
        </w:rPr>
        <w:t>T</w:t>
      </w:r>
      <w:r w:rsidR="002035DB" w:rsidRPr="009B2CA6">
        <w:rPr>
          <w:rFonts w:ascii="Verdana" w:hAnsi="Verdana" w:cs="Times New Roman"/>
          <w:sz w:val="20"/>
          <w:szCs w:val="20"/>
        </w:rPr>
        <w:t xml:space="preserve">ransparencia de la CNUDMI, en relación con la ya mencionada </w:t>
      </w:r>
      <w:r w:rsidRPr="009B2CA6">
        <w:rPr>
          <w:rFonts w:ascii="Verdana" w:hAnsi="Verdana" w:cs="Times New Roman"/>
          <w:sz w:val="20"/>
          <w:szCs w:val="20"/>
        </w:rPr>
        <w:t>R</w:t>
      </w:r>
      <w:r w:rsidR="002035DB" w:rsidRPr="009B2CA6">
        <w:rPr>
          <w:rFonts w:ascii="Verdana" w:hAnsi="Verdana" w:cs="Times New Roman"/>
          <w:sz w:val="20"/>
          <w:szCs w:val="20"/>
        </w:rPr>
        <w:t>egla 37(2) del CIADI</w:t>
      </w:r>
      <w:r w:rsidR="000D4D09" w:rsidRPr="009B2CA6">
        <w:rPr>
          <w:rFonts w:ascii="Verdana" w:hAnsi="Verdana" w:cs="Times New Roman"/>
          <w:sz w:val="20"/>
          <w:szCs w:val="20"/>
        </w:rPr>
        <w:t>,</w:t>
      </w:r>
      <w:r w:rsidR="002035DB" w:rsidRPr="009B2CA6">
        <w:rPr>
          <w:rFonts w:ascii="Verdana" w:hAnsi="Verdana" w:cs="Times New Roman"/>
          <w:sz w:val="20"/>
          <w:szCs w:val="20"/>
        </w:rPr>
        <w:t xml:space="preserve"> resultan ser un poco más detalladas y establecen la distin</w:t>
      </w:r>
      <w:r w:rsidRPr="009B2CA6">
        <w:rPr>
          <w:rFonts w:ascii="Verdana" w:hAnsi="Verdana" w:cs="Times New Roman"/>
          <w:sz w:val="20"/>
          <w:szCs w:val="20"/>
        </w:rPr>
        <w:t>ción entre terceras personas o P</w:t>
      </w:r>
      <w:r w:rsidR="002035DB" w:rsidRPr="009B2CA6">
        <w:rPr>
          <w:rFonts w:ascii="Verdana" w:hAnsi="Verdana" w:cs="Times New Roman"/>
          <w:sz w:val="20"/>
          <w:szCs w:val="20"/>
        </w:rPr>
        <w:t xml:space="preserve">artes y </w:t>
      </w:r>
      <w:r w:rsidRPr="009B2CA6">
        <w:rPr>
          <w:rFonts w:ascii="Verdana" w:hAnsi="Verdana" w:cs="Times New Roman"/>
          <w:sz w:val="20"/>
          <w:szCs w:val="20"/>
        </w:rPr>
        <w:t>Partes no C</w:t>
      </w:r>
      <w:r w:rsidR="002035DB" w:rsidRPr="009B2CA6">
        <w:rPr>
          <w:rFonts w:ascii="Verdana" w:hAnsi="Verdana" w:cs="Times New Roman"/>
          <w:sz w:val="20"/>
          <w:szCs w:val="20"/>
        </w:rPr>
        <w:t>ontendientes en el tratado</w:t>
      </w:r>
      <w:r w:rsidR="00992A97" w:rsidRPr="009B2CA6">
        <w:rPr>
          <w:rStyle w:val="Refdenotaalpie"/>
          <w:rFonts w:ascii="Verdana" w:hAnsi="Verdana" w:cs="Times New Roman"/>
          <w:sz w:val="20"/>
          <w:szCs w:val="20"/>
        </w:rPr>
        <w:footnoteReference w:id="37"/>
      </w:r>
      <w:r w:rsidR="002035DB" w:rsidRPr="009B2CA6">
        <w:rPr>
          <w:rFonts w:ascii="Verdana" w:hAnsi="Verdana" w:cs="Times New Roman"/>
          <w:sz w:val="20"/>
          <w:szCs w:val="20"/>
        </w:rPr>
        <w:t>, aunque hemos de reconocer que los efe</w:t>
      </w:r>
      <w:r w:rsidR="00AC4E78" w:rsidRPr="009B2CA6">
        <w:rPr>
          <w:rFonts w:ascii="Verdana" w:hAnsi="Verdana" w:cs="Times New Roman"/>
          <w:sz w:val="20"/>
          <w:szCs w:val="20"/>
        </w:rPr>
        <w:t>ctos en ambos reglamentos s</w:t>
      </w:r>
      <w:r w:rsidR="00992A97" w:rsidRPr="009B2CA6">
        <w:rPr>
          <w:rFonts w:ascii="Verdana" w:hAnsi="Verdana" w:cs="Times New Roman"/>
          <w:sz w:val="20"/>
          <w:szCs w:val="20"/>
        </w:rPr>
        <w:t>o</w:t>
      </w:r>
      <w:r w:rsidR="00AC4E78" w:rsidRPr="009B2CA6">
        <w:rPr>
          <w:rFonts w:ascii="Verdana" w:hAnsi="Verdana" w:cs="Times New Roman"/>
          <w:sz w:val="20"/>
          <w:szCs w:val="20"/>
        </w:rPr>
        <w:t>n</w:t>
      </w:r>
      <w:r w:rsidR="00F47983" w:rsidRPr="009B2CA6">
        <w:rPr>
          <w:rFonts w:ascii="Verdana" w:hAnsi="Verdana" w:cs="Times New Roman"/>
          <w:sz w:val="20"/>
          <w:szCs w:val="20"/>
        </w:rPr>
        <w:t xml:space="preserve"> prácticamente </w:t>
      </w:r>
      <w:r w:rsidR="00992A97" w:rsidRPr="009B2CA6">
        <w:rPr>
          <w:rFonts w:ascii="Verdana" w:hAnsi="Verdana" w:cs="Times New Roman"/>
          <w:sz w:val="20"/>
          <w:szCs w:val="20"/>
        </w:rPr>
        <w:t>los mismos, no existe una gran diferenciación al respecto</w:t>
      </w:r>
      <w:r w:rsidR="002035DB" w:rsidRPr="009B2CA6">
        <w:rPr>
          <w:rFonts w:ascii="Verdana" w:hAnsi="Verdana" w:cs="Times New Roman"/>
          <w:sz w:val="20"/>
          <w:szCs w:val="20"/>
        </w:rPr>
        <w:t xml:space="preserve">. </w:t>
      </w:r>
      <w:r w:rsidR="009C0BE9" w:rsidRPr="009B2CA6">
        <w:rPr>
          <w:rFonts w:ascii="Verdana" w:hAnsi="Verdana" w:cs="Times New Roman"/>
          <w:sz w:val="20"/>
          <w:szCs w:val="20"/>
        </w:rPr>
        <w:t>Sin duda alguna, el desarrollo de la transparencia en el arbitraje inve</w:t>
      </w:r>
      <w:r w:rsidRPr="009B2CA6">
        <w:rPr>
          <w:rFonts w:ascii="Verdana" w:hAnsi="Verdana" w:cs="Times New Roman"/>
          <w:sz w:val="20"/>
          <w:szCs w:val="20"/>
        </w:rPr>
        <w:t>rsionista-Estado, demuestra que se</w:t>
      </w:r>
      <w:r w:rsidR="00E8112E" w:rsidRPr="009B2CA6">
        <w:rPr>
          <w:rFonts w:ascii="Verdana" w:hAnsi="Verdana" w:cs="Times New Roman"/>
          <w:sz w:val="20"/>
          <w:szCs w:val="20"/>
        </w:rPr>
        <w:t xml:space="preserve"> ha</w:t>
      </w:r>
      <w:r w:rsidRPr="009B2CA6">
        <w:rPr>
          <w:rFonts w:ascii="Verdana" w:hAnsi="Verdana" w:cs="Times New Roman"/>
          <w:sz w:val="20"/>
          <w:szCs w:val="20"/>
        </w:rPr>
        <w:t xml:space="preserve"> ido asumiendo</w:t>
      </w:r>
      <w:r w:rsidR="00063582" w:rsidRPr="009B2CA6">
        <w:rPr>
          <w:rFonts w:ascii="Verdana" w:hAnsi="Verdana" w:cs="Times New Roman"/>
          <w:sz w:val="20"/>
          <w:szCs w:val="20"/>
        </w:rPr>
        <w:t xml:space="preserve"> a nivel internacional</w:t>
      </w:r>
      <w:r w:rsidR="000D4D09" w:rsidRPr="009B2CA6">
        <w:rPr>
          <w:rFonts w:ascii="Verdana" w:hAnsi="Verdana" w:cs="Times New Roman"/>
          <w:sz w:val="20"/>
          <w:szCs w:val="20"/>
        </w:rPr>
        <w:t xml:space="preserve"> mayor concienci</w:t>
      </w:r>
      <w:r w:rsidR="00063582" w:rsidRPr="009B2CA6">
        <w:rPr>
          <w:rFonts w:ascii="Verdana" w:hAnsi="Verdana" w:cs="Times New Roman"/>
          <w:sz w:val="20"/>
          <w:szCs w:val="20"/>
        </w:rPr>
        <w:t>a en cuanto a la presencia d</w:t>
      </w:r>
      <w:r w:rsidR="009C0BE9" w:rsidRPr="009B2CA6">
        <w:rPr>
          <w:rFonts w:ascii="Verdana" w:hAnsi="Verdana" w:cs="Times New Roman"/>
          <w:sz w:val="20"/>
          <w:szCs w:val="20"/>
        </w:rPr>
        <w:t>el interés pú</w:t>
      </w:r>
      <w:r w:rsidR="002F58CF" w:rsidRPr="009B2CA6">
        <w:rPr>
          <w:rFonts w:ascii="Verdana" w:hAnsi="Verdana" w:cs="Times New Roman"/>
          <w:sz w:val="20"/>
          <w:szCs w:val="20"/>
        </w:rPr>
        <w:t>blico en este tipo de arbitraje</w:t>
      </w:r>
      <w:r w:rsidR="00FA278E" w:rsidRPr="009B2CA6">
        <w:rPr>
          <w:rFonts w:ascii="Verdana" w:hAnsi="Verdana" w:cs="Times New Roman"/>
          <w:sz w:val="20"/>
          <w:szCs w:val="20"/>
        </w:rPr>
        <w:t>, teniendo como objetivo principal prom</w:t>
      </w:r>
      <w:r w:rsidR="00AC4E78" w:rsidRPr="009B2CA6">
        <w:rPr>
          <w:rFonts w:ascii="Verdana" w:hAnsi="Verdana" w:cs="Times New Roman"/>
          <w:sz w:val="20"/>
          <w:szCs w:val="20"/>
        </w:rPr>
        <w:t xml:space="preserve">over la responsabilidad de los </w:t>
      </w:r>
      <w:r w:rsidR="00063582" w:rsidRPr="009B2CA6">
        <w:rPr>
          <w:rFonts w:ascii="Verdana" w:hAnsi="Verdana" w:cs="Times New Roman"/>
          <w:sz w:val="20"/>
          <w:szCs w:val="20"/>
        </w:rPr>
        <w:t>E</w:t>
      </w:r>
      <w:r w:rsidR="00FA278E" w:rsidRPr="009B2CA6">
        <w:rPr>
          <w:rFonts w:ascii="Verdana" w:hAnsi="Verdana" w:cs="Times New Roman"/>
          <w:sz w:val="20"/>
          <w:szCs w:val="20"/>
        </w:rPr>
        <w:t xml:space="preserve">stados frente a las actividades públicas que </w:t>
      </w:r>
      <w:r w:rsidR="00063582" w:rsidRPr="009B2CA6">
        <w:rPr>
          <w:rFonts w:ascii="Verdana" w:hAnsi="Verdana" w:cs="Times New Roman"/>
          <w:sz w:val="20"/>
          <w:szCs w:val="20"/>
        </w:rPr>
        <w:t>desarrollan</w:t>
      </w:r>
      <w:r w:rsidR="00FA278E" w:rsidRPr="009B2CA6">
        <w:rPr>
          <w:rFonts w:ascii="Verdana" w:hAnsi="Verdana" w:cs="Times New Roman"/>
          <w:sz w:val="20"/>
          <w:szCs w:val="20"/>
        </w:rPr>
        <w:t xml:space="preserve"> y que pueden </w:t>
      </w:r>
      <w:r w:rsidR="00E8112E" w:rsidRPr="009B2CA6">
        <w:rPr>
          <w:rFonts w:ascii="Verdana" w:hAnsi="Verdana" w:cs="Times New Roman"/>
          <w:sz w:val="20"/>
          <w:szCs w:val="20"/>
        </w:rPr>
        <w:t xml:space="preserve">acarrear </w:t>
      </w:r>
      <w:r w:rsidR="00063582" w:rsidRPr="009B2CA6">
        <w:rPr>
          <w:rFonts w:ascii="Verdana" w:hAnsi="Verdana" w:cs="Times New Roman"/>
          <w:sz w:val="20"/>
          <w:szCs w:val="20"/>
        </w:rPr>
        <w:t xml:space="preserve">en futuros </w:t>
      </w:r>
      <w:r w:rsidR="00FA278E" w:rsidRPr="009B2CA6">
        <w:rPr>
          <w:rFonts w:ascii="Verdana" w:hAnsi="Verdana" w:cs="Times New Roman"/>
          <w:sz w:val="20"/>
          <w:szCs w:val="20"/>
        </w:rPr>
        <w:t>arbitrajes</w:t>
      </w:r>
      <w:r w:rsidR="00063582" w:rsidRPr="009B2CA6">
        <w:rPr>
          <w:rFonts w:ascii="Verdana" w:hAnsi="Verdana" w:cs="Times New Roman"/>
          <w:sz w:val="20"/>
          <w:szCs w:val="20"/>
        </w:rPr>
        <w:t xml:space="preserve"> de inversiones</w:t>
      </w:r>
      <w:r w:rsidR="00FA278E" w:rsidRPr="009B2CA6">
        <w:rPr>
          <w:rFonts w:ascii="Verdana" w:hAnsi="Verdana" w:cs="Times New Roman"/>
          <w:sz w:val="20"/>
          <w:szCs w:val="20"/>
        </w:rPr>
        <w:t>.</w:t>
      </w:r>
    </w:p>
    <w:p w:rsidR="00251FD3" w:rsidRPr="009B2CA6" w:rsidRDefault="001A0F96"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Las reglas de transparencia</w:t>
      </w:r>
      <w:r w:rsidR="00DD055C" w:rsidRPr="009B2CA6">
        <w:rPr>
          <w:rFonts w:ascii="Verdana" w:hAnsi="Verdana" w:cs="Times New Roman"/>
          <w:sz w:val="20"/>
          <w:szCs w:val="20"/>
        </w:rPr>
        <w:t xml:space="preserve"> del</w:t>
      </w:r>
      <w:r w:rsidRPr="009B2CA6">
        <w:rPr>
          <w:rFonts w:ascii="Verdana" w:hAnsi="Verdana" w:cs="Times New Roman"/>
          <w:sz w:val="20"/>
          <w:szCs w:val="20"/>
        </w:rPr>
        <w:t xml:space="preserve"> Reglamento</w:t>
      </w:r>
      <w:r w:rsidR="00DD055C" w:rsidRPr="009B2CA6">
        <w:rPr>
          <w:rFonts w:ascii="Verdana" w:hAnsi="Verdana" w:cs="Times New Roman"/>
          <w:sz w:val="20"/>
          <w:szCs w:val="20"/>
        </w:rPr>
        <w:t xml:space="preserve"> que nos ocupa</w:t>
      </w:r>
      <w:r w:rsidRPr="009B2CA6">
        <w:rPr>
          <w:rFonts w:ascii="Verdana" w:hAnsi="Verdana" w:cs="Times New Roman"/>
          <w:sz w:val="20"/>
          <w:szCs w:val="20"/>
        </w:rPr>
        <w:t xml:space="preserve"> tratan cuatro aspectos de trascendental relevancia para el</w:t>
      </w:r>
      <w:r w:rsidR="009A0005" w:rsidRPr="009B2CA6">
        <w:rPr>
          <w:rFonts w:ascii="Verdana" w:hAnsi="Verdana" w:cs="Times New Roman"/>
          <w:sz w:val="20"/>
          <w:szCs w:val="20"/>
        </w:rPr>
        <w:t xml:space="preserve"> arbitraje inversionista-E</w:t>
      </w:r>
      <w:r w:rsidRPr="009B2CA6">
        <w:rPr>
          <w:rFonts w:ascii="Verdana" w:hAnsi="Verdana" w:cs="Times New Roman"/>
          <w:sz w:val="20"/>
          <w:szCs w:val="20"/>
        </w:rPr>
        <w:t>stado: no</w:t>
      </w:r>
      <w:r w:rsidR="009A0005" w:rsidRPr="009B2CA6">
        <w:rPr>
          <w:rFonts w:ascii="Verdana" w:hAnsi="Verdana" w:cs="Times New Roman"/>
          <w:sz w:val="20"/>
          <w:szCs w:val="20"/>
        </w:rPr>
        <w:t>tificación de nuevos arbitrajes,</w:t>
      </w:r>
      <w:r w:rsidRPr="009B2CA6">
        <w:rPr>
          <w:rFonts w:ascii="Verdana" w:hAnsi="Verdana" w:cs="Times New Roman"/>
          <w:sz w:val="20"/>
          <w:szCs w:val="20"/>
        </w:rPr>
        <w:t xml:space="preserve"> acceso a documentos</w:t>
      </w:r>
      <w:r w:rsidR="009A0005" w:rsidRPr="009B2CA6">
        <w:rPr>
          <w:rFonts w:ascii="Verdana" w:hAnsi="Verdana" w:cs="Times New Roman"/>
          <w:sz w:val="20"/>
          <w:szCs w:val="20"/>
        </w:rPr>
        <w:t>,</w:t>
      </w:r>
      <w:r w:rsidRPr="009B2CA6">
        <w:rPr>
          <w:rFonts w:ascii="Verdana" w:hAnsi="Verdana" w:cs="Times New Roman"/>
          <w:sz w:val="20"/>
          <w:szCs w:val="20"/>
        </w:rPr>
        <w:t xml:space="preserve"> presentaciones de t</w:t>
      </w:r>
      <w:r w:rsidR="009A0005" w:rsidRPr="009B2CA6">
        <w:rPr>
          <w:rFonts w:ascii="Verdana" w:hAnsi="Verdana" w:cs="Times New Roman"/>
          <w:sz w:val="20"/>
          <w:szCs w:val="20"/>
        </w:rPr>
        <w:t>erceros</w:t>
      </w:r>
      <w:r w:rsidRPr="009B2CA6">
        <w:rPr>
          <w:rFonts w:ascii="Verdana" w:hAnsi="Verdana" w:cs="Times New Roman"/>
          <w:sz w:val="20"/>
          <w:szCs w:val="20"/>
        </w:rPr>
        <w:t xml:space="preserve"> y audiencias abiertas.</w:t>
      </w:r>
      <w:r w:rsidR="007249F6" w:rsidRPr="009B2CA6">
        <w:rPr>
          <w:rFonts w:ascii="Verdana" w:hAnsi="Verdana" w:cs="Times New Roman"/>
          <w:sz w:val="20"/>
          <w:szCs w:val="20"/>
        </w:rPr>
        <w:t xml:space="preserve"> </w:t>
      </w:r>
      <w:r w:rsidR="00AE3E6F" w:rsidRPr="009B2CA6">
        <w:rPr>
          <w:rFonts w:ascii="Verdana" w:hAnsi="Verdana" w:cs="Times New Roman"/>
          <w:sz w:val="20"/>
          <w:szCs w:val="20"/>
        </w:rPr>
        <w:t xml:space="preserve">Por la </w:t>
      </w:r>
      <w:r w:rsidR="00FD5486" w:rsidRPr="009B2CA6">
        <w:rPr>
          <w:rFonts w:ascii="Verdana" w:hAnsi="Verdana" w:cs="Times New Roman"/>
          <w:sz w:val="20"/>
          <w:szCs w:val="20"/>
        </w:rPr>
        <w:t>relevancia</w:t>
      </w:r>
      <w:r w:rsidR="00AE3E6F" w:rsidRPr="009B2CA6">
        <w:rPr>
          <w:rFonts w:ascii="Verdana" w:hAnsi="Verdana" w:cs="Times New Roman"/>
          <w:sz w:val="20"/>
          <w:szCs w:val="20"/>
        </w:rPr>
        <w:t xml:space="preserve"> que tiene el Reglamento sobre la Transparencia </w:t>
      </w:r>
      <w:r w:rsidR="00FD5486" w:rsidRPr="009B2CA6">
        <w:rPr>
          <w:rFonts w:ascii="Verdana" w:hAnsi="Verdana" w:cs="Times New Roman"/>
          <w:sz w:val="20"/>
          <w:szCs w:val="20"/>
        </w:rPr>
        <w:t>en este tipo de arbitraje, en el presente epígrafe realizamos un análisis del mismo, iniciando por las</w:t>
      </w:r>
      <w:r w:rsidR="00E540C9" w:rsidRPr="009B2CA6">
        <w:rPr>
          <w:rFonts w:ascii="Verdana" w:hAnsi="Verdana" w:cs="Times New Roman"/>
          <w:sz w:val="20"/>
          <w:szCs w:val="20"/>
        </w:rPr>
        <w:t xml:space="preserve"> reglas sobre el alcance y el método de aplicación, </w:t>
      </w:r>
      <w:r w:rsidR="00FD5486" w:rsidRPr="009B2CA6">
        <w:rPr>
          <w:rFonts w:ascii="Verdana" w:hAnsi="Verdana" w:cs="Times New Roman"/>
          <w:sz w:val="20"/>
          <w:szCs w:val="20"/>
        </w:rPr>
        <w:t xml:space="preserve">para adentrarnos posteriormente </w:t>
      </w:r>
      <w:r w:rsidR="00E540C9" w:rsidRPr="009B2CA6">
        <w:rPr>
          <w:rFonts w:ascii="Verdana" w:hAnsi="Verdana" w:cs="Times New Roman"/>
          <w:sz w:val="20"/>
          <w:szCs w:val="20"/>
        </w:rPr>
        <w:t xml:space="preserve">a las disposiciones de apertura, divulgación, excepciones y repositorio o archivo de la información, </w:t>
      </w:r>
      <w:r w:rsidR="00FA3001" w:rsidRPr="009B2CA6">
        <w:rPr>
          <w:rFonts w:ascii="Verdana" w:hAnsi="Verdana" w:cs="Times New Roman"/>
          <w:sz w:val="20"/>
          <w:szCs w:val="20"/>
        </w:rPr>
        <w:t xml:space="preserve">siempre </w:t>
      </w:r>
      <w:r w:rsidR="008A6B6F" w:rsidRPr="009B2CA6">
        <w:rPr>
          <w:rFonts w:ascii="Verdana" w:hAnsi="Verdana" w:cs="Times New Roman"/>
          <w:sz w:val="20"/>
          <w:szCs w:val="20"/>
        </w:rPr>
        <w:t xml:space="preserve">respetando la estructura formal </w:t>
      </w:r>
      <w:r w:rsidR="00FA3001" w:rsidRPr="009B2CA6">
        <w:rPr>
          <w:rFonts w:ascii="Verdana" w:hAnsi="Verdana" w:cs="Times New Roman"/>
          <w:sz w:val="20"/>
          <w:szCs w:val="20"/>
        </w:rPr>
        <w:t>del propio reglamento</w:t>
      </w:r>
      <w:r w:rsidR="00FD5486" w:rsidRPr="009B2CA6">
        <w:rPr>
          <w:rFonts w:ascii="Verdana" w:hAnsi="Verdana" w:cs="Times New Roman"/>
          <w:sz w:val="20"/>
          <w:szCs w:val="20"/>
        </w:rPr>
        <w:t>, l</w:t>
      </w:r>
      <w:r w:rsidR="00E540C9" w:rsidRPr="009B2CA6">
        <w:rPr>
          <w:rFonts w:ascii="Verdana" w:hAnsi="Verdana" w:cs="Times New Roman"/>
          <w:sz w:val="20"/>
          <w:szCs w:val="20"/>
        </w:rPr>
        <w:t>o que nos permitirá un</w:t>
      </w:r>
      <w:r w:rsidR="00FD5486" w:rsidRPr="009B2CA6">
        <w:rPr>
          <w:rFonts w:ascii="Verdana" w:hAnsi="Verdana" w:cs="Times New Roman"/>
          <w:sz w:val="20"/>
          <w:szCs w:val="20"/>
        </w:rPr>
        <w:t>a</w:t>
      </w:r>
      <w:r w:rsidR="00E540C9" w:rsidRPr="009B2CA6">
        <w:rPr>
          <w:rFonts w:ascii="Verdana" w:hAnsi="Verdana" w:cs="Times New Roman"/>
          <w:sz w:val="20"/>
          <w:szCs w:val="20"/>
        </w:rPr>
        <w:t xml:space="preserve"> mejor comprensión de sus preceptos. </w:t>
      </w:r>
    </w:p>
    <w:p w:rsidR="009A0005" w:rsidRPr="009B2CA6" w:rsidRDefault="009A0005" w:rsidP="006D3AD5">
      <w:pPr>
        <w:pStyle w:val="Contenidodelatabla"/>
        <w:spacing w:line="240" w:lineRule="auto"/>
        <w:rPr>
          <w:rFonts w:ascii="Verdana" w:hAnsi="Verdana" w:cs="Times New Roman"/>
          <w:sz w:val="20"/>
          <w:szCs w:val="20"/>
        </w:rPr>
      </w:pPr>
    </w:p>
    <w:p w:rsidR="00914E66" w:rsidRPr="009B2CA6" w:rsidRDefault="00E0258A" w:rsidP="006D3AD5">
      <w:pPr>
        <w:pStyle w:val="Contenidodelatabla"/>
        <w:spacing w:line="240" w:lineRule="auto"/>
        <w:ind w:firstLine="0"/>
        <w:outlineLvl w:val="2"/>
        <w:rPr>
          <w:rFonts w:ascii="Verdana" w:hAnsi="Verdana" w:cs="Times New Roman"/>
          <w:b/>
          <w:sz w:val="20"/>
          <w:szCs w:val="20"/>
        </w:rPr>
      </w:pPr>
      <w:bookmarkStart w:id="17" w:name="_Toc536741916"/>
      <w:bookmarkStart w:id="18" w:name="_Toc1224438"/>
      <w:r w:rsidRPr="009B2CA6">
        <w:rPr>
          <w:rFonts w:ascii="Verdana" w:hAnsi="Verdana" w:cs="Times New Roman"/>
          <w:b/>
          <w:sz w:val="20"/>
          <w:szCs w:val="20"/>
        </w:rPr>
        <w:t>4.1</w:t>
      </w:r>
      <w:r w:rsidR="00914E66" w:rsidRPr="009B2CA6">
        <w:rPr>
          <w:rFonts w:ascii="Verdana" w:hAnsi="Verdana" w:cs="Times New Roman"/>
          <w:b/>
          <w:sz w:val="20"/>
          <w:szCs w:val="20"/>
        </w:rPr>
        <w:t xml:space="preserve"> Ámbito de aplicación</w:t>
      </w:r>
      <w:r w:rsidR="00C50E87" w:rsidRPr="009B2CA6">
        <w:rPr>
          <w:rFonts w:ascii="Verdana" w:hAnsi="Verdana" w:cs="Times New Roman"/>
          <w:b/>
          <w:sz w:val="20"/>
          <w:szCs w:val="20"/>
        </w:rPr>
        <w:t xml:space="preserve"> del Reglamento sobre </w:t>
      </w:r>
      <w:r w:rsidR="00DF09FE" w:rsidRPr="009B2CA6">
        <w:rPr>
          <w:rFonts w:ascii="Verdana" w:hAnsi="Verdana" w:cs="Times New Roman"/>
          <w:b/>
          <w:sz w:val="20"/>
          <w:szCs w:val="20"/>
        </w:rPr>
        <w:t xml:space="preserve">la </w:t>
      </w:r>
      <w:r w:rsidR="00C50E87" w:rsidRPr="009B2CA6">
        <w:rPr>
          <w:rFonts w:ascii="Verdana" w:hAnsi="Verdana" w:cs="Times New Roman"/>
          <w:b/>
          <w:sz w:val="20"/>
          <w:szCs w:val="20"/>
        </w:rPr>
        <w:t>Transpar</w:t>
      </w:r>
      <w:r w:rsidR="002B044B" w:rsidRPr="009B2CA6">
        <w:rPr>
          <w:rFonts w:ascii="Verdana" w:hAnsi="Verdana" w:cs="Times New Roman"/>
          <w:b/>
          <w:sz w:val="20"/>
          <w:szCs w:val="20"/>
        </w:rPr>
        <w:t>encia.</w:t>
      </w:r>
      <w:bookmarkEnd w:id="17"/>
      <w:bookmarkEnd w:id="18"/>
    </w:p>
    <w:p w:rsidR="00251FD3" w:rsidRPr="009B2CA6" w:rsidRDefault="00C13B69"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Respecto al ámbito de</w:t>
      </w:r>
      <w:r w:rsidR="00553739" w:rsidRPr="009B2CA6">
        <w:rPr>
          <w:rFonts w:ascii="Verdana" w:hAnsi="Verdana" w:cs="Times New Roman"/>
          <w:sz w:val="20"/>
          <w:szCs w:val="20"/>
        </w:rPr>
        <w:t xml:space="preserve"> a</w:t>
      </w:r>
      <w:r w:rsidR="009770DE" w:rsidRPr="009B2CA6">
        <w:rPr>
          <w:rFonts w:ascii="Verdana" w:hAnsi="Verdana" w:cs="Times New Roman"/>
          <w:sz w:val="20"/>
          <w:szCs w:val="20"/>
        </w:rPr>
        <w:t xml:space="preserve">plicación del Reglamento sobre </w:t>
      </w:r>
      <w:r w:rsidR="00577EBF" w:rsidRPr="009B2CA6">
        <w:rPr>
          <w:rFonts w:ascii="Verdana" w:hAnsi="Verdana" w:cs="Times New Roman"/>
          <w:sz w:val="20"/>
          <w:szCs w:val="20"/>
        </w:rPr>
        <w:t>la Tr</w:t>
      </w:r>
      <w:r w:rsidR="00553739" w:rsidRPr="009B2CA6">
        <w:rPr>
          <w:rFonts w:ascii="Verdana" w:hAnsi="Verdana" w:cs="Times New Roman"/>
          <w:sz w:val="20"/>
          <w:szCs w:val="20"/>
        </w:rPr>
        <w:t>ansparencia</w:t>
      </w:r>
      <w:r w:rsidR="00845A67" w:rsidRPr="009B2CA6">
        <w:rPr>
          <w:rFonts w:ascii="Verdana" w:hAnsi="Verdana" w:cs="Times New Roman"/>
          <w:sz w:val="20"/>
          <w:szCs w:val="20"/>
        </w:rPr>
        <w:t xml:space="preserve"> (Art. 1), en el que se establece</w:t>
      </w:r>
      <w:r w:rsidR="006335E4" w:rsidRPr="009B2CA6">
        <w:rPr>
          <w:rFonts w:ascii="Verdana" w:hAnsi="Verdana" w:cs="Times New Roman"/>
          <w:sz w:val="20"/>
          <w:szCs w:val="20"/>
        </w:rPr>
        <w:t>,</w:t>
      </w:r>
      <w:r w:rsidR="00845A67" w:rsidRPr="009B2CA6">
        <w:rPr>
          <w:rFonts w:ascii="Verdana" w:hAnsi="Verdana" w:cs="Times New Roman"/>
          <w:sz w:val="20"/>
          <w:szCs w:val="20"/>
        </w:rPr>
        <w:t xml:space="preserve"> la aplicabilidad, aplicación, discrecionalidad y autoridad del tribunal arbitral, el instrumento aplicable en caso de conflicto y la aplicación de las propias reglas a los arbitr</w:t>
      </w:r>
      <w:r w:rsidR="00E80C6E" w:rsidRPr="009B2CA6">
        <w:rPr>
          <w:rFonts w:ascii="Verdana" w:hAnsi="Verdana" w:cs="Times New Roman"/>
          <w:sz w:val="20"/>
          <w:szCs w:val="20"/>
        </w:rPr>
        <w:t xml:space="preserve">ajes no sujetos </w:t>
      </w:r>
      <w:r w:rsidR="00845A67" w:rsidRPr="009B2CA6">
        <w:rPr>
          <w:rFonts w:ascii="Verdana" w:hAnsi="Verdana" w:cs="Times New Roman"/>
          <w:sz w:val="20"/>
          <w:szCs w:val="20"/>
        </w:rPr>
        <w:t>al Reglamento de Arbitraje de la CNUDMI</w:t>
      </w:r>
      <w:r w:rsidR="006335E4" w:rsidRPr="009B2CA6">
        <w:rPr>
          <w:rFonts w:ascii="Verdana" w:hAnsi="Verdana" w:cs="Times New Roman"/>
          <w:sz w:val="20"/>
          <w:szCs w:val="20"/>
        </w:rPr>
        <w:t>.</w:t>
      </w:r>
      <w:r w:rsidR="00845A67" w:rsidRPr="009B2CA6">
        <w:rPr>
          <w:rFonts w:ascii="Verdana" w:hAnsi="Verdana" w:cs="Times New Roman"/>
          <w:sz w:val="20"/>
          <w:szCs w:val="20"/>
        </w:rPr>
        <w:t xml:space="preserve"> </w:t>
      </w:r>
      <w:r w:rsidR="0024472F" w:rsidRPr="009B2CA6">
        <w:rPr>
          <w:rFonts w:ascii="Verdana" w:hAnsi="Verdana" w:cs="Times New Roman"/>
          <w:sz w:val="20"/>
          <w:szCs w:val="20"/>
        </w:rPr>
        <w:t>Parece claro</w:t>
      </w:r>
      <w:r w:rsidR="00553739" w:rsidRPr="009B2CA6">
        <w:rPr>
          <w:rFonts w:ascii="Verdana" w:hAnsi="Verdana" w:cs="Times New Roman"/>
          <w:sz w:val="20"/>
          <w:szCs w:val="20"/>
        </w:rPr>
        <w:t xml:space="preserve"> que el mismo, desde sus propios inicios, </w:t>
      </w:r>
      <w:r w:rsidR="00B80A4A" w:rsidRPr="009B2CA6">
        <w:rPr>
          <w:rFonts w:ascii="Verdana" w:hAnsi="Verdana" w:cs="Times New Roman"/>
          <w:sz w:val="20"/>
          <w:szCs w:val="20"/>
        </w:rPr>
        <w:t>vaticina</w:t>
      </w:r>
      <w:r w:rsidR="00553739" w:rsidRPr="009B2CA6">
        <w:rPr>
          <w:rFonts w:ascii="Verdana" w:hAnsi="Verdana" w:cs="Times New Roman"/>
          <w:sz w:val="20"/>
          <w:szCs w:val="20"/>
        </w:rPr>
        <w:t xml:space="preserve"> el comienzo de una nueva etapa a nivel internacional sin precedente en el arbitraje de inversiones: la de un marco jurídico armonizado sobre la transparencia en el arbitraje de inversiones, o, coincidiendo con SILVA ROMERO y FELIPE MERIZALDE, la de una inexorable transparencia en el arbitraje de inversiones</w:t>
      </w:r>
      <w:r w:rsidR="00553739" w:rsidRPr="009B2CA6">
        <w:rPr>
          <w:rStyle w:val="Refdenotaalpie"/>
          <w:rFonts w:ascii="Verdana" w:hAnsi="Verdana" w:cs="Times New Roman"/>
          <w:sz w:val="20"/>
          <w:szCs w:val="20"/>
        </w:rPr>
        <w:footnoteReference w:id="38"/>
      </w:r>
      <w:r w:rsidR="00D973F9" w:rsidRPr="009B2CA6">
        <w:rPr>
          <w:rFonts w:ascii="Verdana" w:hAnsi="Verdana" w:cs="Times New Roman"/>
          <w:sz w:val="20"/>
          <w:szCs w:val="20"/>
        </w:rPr>
        <w:t>.</w:t>
      </w:r>
    </w:p>
    <w:p w:rsidR="006472A5" w:rsidRDefault="006472A5" w:rsidP="006D3AD5">
      <w:pPr>
        <w:pStyle w:val="Contenidodelatabla"/>
        <w:spacing w:line="240" w:lineRule="auto"/>
        <w:rPr>
          <w:rFonts w:ascii="Times New Roman" w:hAnsi="Times New Roman" w:cs="Times New Roman"/>
          <w:sz w:val="24"/>
          <w:szCs w:val="24"/>
        </w:rPr>
      </w:pPr>
    </w:p>
    <w:p w:rsidR="00914E66" w:rsidRPr="009B2CA6" w:rsidRDefault="00E0258A" w:rsidP="006D3AD5">
      <w:pPr>
        <w:pStyle w:val="Contenidodelatabla"/>
        <w:spacing w:line="240" w:lineRule="auto"/>
        <w:ind w:firstLine="0"/>
        <w:outlineLvl w:val="2"/>
        <w:rPr>
          <w:rFonts w:ascii="Verdana" w:hAnsi="Verdana" w:cs="Times New Roman"/>
          <w:sz w:val="20"/>
          <w:szCs w:val="20"/>
        </w:rPr>
      </w:pPr>
      <w:bookmarkStart w:id="20" w:name="_Toc536741917"/>
      <w:bookmarkStart w:id="21" w:name="_Toc1224439"/>
      <w:r w:rsidRPr="009B2CA6">
        <w:rPr>
          <w:rFonts w:ascii="Verdana" w:hAnsi="Verdana" w:cs="Times New Roman"/>
          <w:b/>
          <w:sz w:val="20"/>
          <w:szCs w:val="20"/>
        </w:rPr>
        <w:t>4.1.1</w:t>
      </w:r>
      <w:r w:rsidR="001417B8" w:rsidRPr="009B2CA6">
        <w:rPr>
          <w:rFonts w:ascii="Verdana" w:hAnsi="Verdana" w:cs="Times New Roman"/>
          <w:b/>
          <w:sz w:val="20"/>
          <w:szCs w:val="20"/>
        </w:rPr>
        <w:t xml:space="preserve"> Aplicabilidad del Reglamento</w:t>
      </w:r>
      <w:r w:rsidR="00C50E87" w:rsidRPr="009B2CA6">
        <w:rPr>
          <w:rFonts w:ascii="Verdana" w:hAnsi="Verdana" w:cs="Times New Roman"/>
          <w:b/>
          <w:sz w:val="20"/>
          <w:szCs w:val="20"/>
        </w:rPr>
        <w:t>.</w:t>
      </w:r>
      <w:bookmarkEnd w:id="20"/>
      <w:bookmarkEnd w:id="21"/>
    </w:p>
    <w:p w:rsidR="008562A9" w:rsidRPr="009B2CA6" w:rsidRDefault="00E52072"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Com</w:t>
      </w:r>
      <w:r w:rsidR="008B6A5D" w:rsidRPr="009B2CA6">
        <w:rPr>
          <w:rFonts w:ascii="Verdana" w:hAnsi="Verdana" w:cs="Times New Roman"/>
          <w:sz w:val="20"/>
          <w:szCs w:val="20"/>
        </w:rPr>
        <w:t>o hemos comentado antes</w:t>
      </w:r>
      <w:r w:rsidRPr="009B2CA6">
        <w:rPr>
          <w:rFonts w:ascii="Verdana" w:hAnsi="Verdana" w:cs="Times New Roman"/>
          <w:sz w:val="20"/>
          <w:szCs w:val="20"/>
        </w:rPr>
        <w:t>, e</w:t>
      </w:r>
      <w:r w:rsidR="00552084" w:rsidRPr="009B2CA6">
        <w:rPr>
          <w:rFonts w:ascii="Verdana" w:hAnsi="Verdana" w:cs="Times New Roman"/>
          <w:sz w:val="20"/>
          <w:szCs w:val="20"/>
        </w:rPr>
        <w:t>n</w:t>
      </w:r>
      <w:r w:rsidR="006335E4" w:rsidRPr="009B2CA6">
        <w:rPr>
          <w:rFonts w:ascii="Verdana" w:hAnsi="Verdana" w:cs="Times New Roman"/>
          <w:sz w:val="20"/>
          <w:szCs w:val="20"/>
        </w:rPr>
        <w:t xml:space="preserve"> abril del 2014</w:t>
      </w:r>
      <w:r w:rsidR="001B6174" w:rsidRPr="009B2CA6">
        <w:rPr>
          <w:rFonts w:ascii="Verdana" w:hAnsi="Verdana" w:cs="Times New Roman"/>
          <w:sz w:val="20"/>
          <w:szCs w:val="20"/>
        </w:rPr>
        <w:t xml:space="preserve"> </w:t>
      </w:r>
      <w:r w:rsidR="0024472F" w:rsidRPr="009B2CA6">
        <w:rPr>
          <w:rFonts w:ascii="Verdana" w:hAnsi="Verdana" w:cs="Times New Roman"/>
          <w:sz w:val="20"/>
          <w:szCs w:val="20"/>
        </w:rPr>
        <w:t>entró en vigor</w:t>
      </w:r>
      <w:r w:rsidR="001B6174" w:rsidRPr="009B2CA6">
        <w:rPr>
          <w:rFonts w:ascii="Verdana" w:hAnsi="Verdana" w:cs="Times New Roman"/>
          <w:sz w:val="20"/>
          <w:szCs w:val="20"/>
        </w:rPr>
        <w:t xml:space="preserve"> el Reglamento sobre</w:t>
      </w:r>
      <w:r w:rsidR="00DF09FE" w:rsidRPr="009B2CA6">
        <w:rPr>
          <w:rFonts w:ascii="Verdana" w:hAnsi="Verdana" w:cs="Times New Roman"/>
          <w:sz w:val="20"/>
          <w:szCs w:val="20"/>
        </w:rPr>
        <w:t xml:space="preserve"> la</w:t>
      </w:r>
      <w:r w:rsidR="001B6174" w:rsidRPr="009B2CA6">
        <w:rPr>
          <w:rFonts w:ascii="Verdana" w:hAnsi="Verdana" w:cs="Times New Roman"/>
          <w:sz w:val="20"/>
          <w:szCs w:val="20"/>
        </w:rPr>
        <w:t xml:space="preserve"> Transparencia de la CNUDMI</w:t>
      </w:r>
      <w:r w:rsidR="00562EE2">
        <w:rPr>
          <w:rFonts w:ascii="Verdana" w:hAnsi="Verdana" w:cs="Times New Roman"/>
          <w:sz w:val="20"/>
          <w:szCs w:val="20"/>
        </w:rPr>
        <w:t xml:space="preserve"> (en lo adelante el Reglamento)</w:t>
      </w:r>
      <w:r w:rsidR="008562A9" w:rsidRPr="009B2CA6">
        <w:rPr>
          <w:rFonts w:ascii="Verdana" w:hAnsi="Verdana" w:cs="Times New Roman"/>
          <w:sz w:val="20"/>
          <w:szCs w:val="20"/>
        </w:rPr>
        <w:t>.</w:t>
      </w:r>
      <w:r w:rsidR="00C50E87" w:rsidRPr="009B2CA6">
        <w:rPr>
          <w:rFonts w:ascii="Verdana" w:hAnsi="Verdana" w:cs="Times New Roman"/>
          <w:sz w:val="20"/>
          <w:szCs w:val="20"/>
        </w:rPr>
        <w:t xml:space="preserve"> </w:t>
      </w:r>
      <w:r w:rsidR="008562A9" w:rsidRPr="009B2CA6">
        <w:rPr>
          <w:rFonts w:ascii="Verdana" w:hAnsi="Verdana" w:cs="Times New Roman"/>
          <w:sz w:val="20"/>
          <w:szCs w:val="20"/>
        </w:rPr>
        <w:t>D</w:t>
      </w:r>
      <w:r w:rsidR="00C50E87" w:rsidRPr="009B2CA6">
        <w:rPr>
          <w:rFonts w:ascii="Verdana" w:hAnsi="Verdana" w:cs="Times New Roman"/>
          <w:sz w:val="20"/>
          <w:szCs w:val="20"/>
        </w:rPr>
        <w:t>e conformidad con el artículo 1.1, es</w:t>
      </w:r>
      <w:r w:rsidR="00BF7B6D" w:rsidRPr="009B2CA6">
        <w:rPr>
          <w:rFonts w:ascii="Verdana" w:hAnsi="Verdana" w:cs="Times New Roman"/>
          <w:sz w:val="20"/>
          <w:szCs w:val="20"/>
        </w:rPr>
        <w:t xml:space="preserve"> aplicable </w:t>
      </w:r>
      <w:r w:rsidR="00161ED4" w:rsidRPr="009B2CA6">
        <w:rPr>
          <w:rFonts w:ascii="Verdana" w:hAnsi="Verdana" w:cs="Times New Roman"/>
          <w:sz w:val="20"/>
          <w:szCs w:val="20"/>
        </w:rPr>
        <w:t xml:space="preserve">por defecto </w:t>
      </w:r>
      <w:r w:rsidR="00BF7B6D" w:rsidRPr="009B2CA6">
        <w:rPr>
          <w:rFonts w:ascii="Verdana" w:hAnsi="Verdana" w:cs="Times New Roman"/>
          <w:sz w:val="20"/>
          <w:szCs w:val="20"/>
        </w:rPr>
        <w:t xml:space="preserve">a los </w:t>
      </w:r>
      <w:r w:rsidR="00161ED4" w:rsidRPr="009B2CA6">
        <w:rPr>
          <w:rFonts w:ascii="Verdana" w:hAnsi="Verdana" w:cs="Times New Roman"/>
          <w:sz w:val="20"/>
          <w:szCs w:val="20"/>
        </w:rPr>
        <w:t>arbi</w:t>
      </w:r>
      <w:r w:rsidR="00C50E87" w:rsidRPr="009B2CA6">
        <w:rPr>
          <w:rFonts w:ascii="Verdana" w:hAnsi="Verdana" w:cs="Times New Roman"/>
          <w:sz w:val="20"/>
          <w:szCs w:val="20"/>
        </w:rPr>
        <w:t>tra</w:t>
      </w:r>
      <w:r w:rsidR="00C04983" w:rsidRPr="009B2CA6">
        <w:rPr>
          <w:rFonts w:ascii="Verdana" w:hAnsi="Verdana" w:cs="Times New Roman"/>
          <w:sz w:val="20"/>
          <w:szCs w:val="20"/>
        </w:rPr>
        <w:t>j</w:t>
      </w:r>
      <w:r w:rsidR="00C50E87" w:rsidRPr="009B2CA6">
        <w:rPr>
          <w:rFonts w:ascii="Verdana" w:hAnsi="Verdana" w:cs="Times New Roman"/>
          <w:sz w:val="20"/>
          <w:szCs w:val="20"/>
        </w:rPr>
        <w:t xml:space="preserve">es inversionista-Estado bajo las reglas de </w:t>
      </w:r>
      <w:r w:rsidR="006335E4" w:rsidRPr="009B2CA6">
        <w:rPr>
          <w:rFonts w:ascii="Verdana" w:hAnsi="Verdana" w:cs="Times New Roman"/>
          <w:sz w:val="20"/>
          <w:szCs w:val="20"/>
        </w:rPr>
        <w:t>la CNUDMI entablados en virtud</w:t>
      </w:r>
      <w:r w:rsidR="00161ED4" w:rsidRPr="009B2CA6">
        <w:rPr>
          <w:rFonts w:ascii="Verdana" w:hAnsi="Verdana" w:cs="Times New Roman"/>
          <w:sz w:val="20"/>
          <w:szCs w:val="20"/>
        </w:rPr>
        <w:t xml:space="preserve"> </w:t>
      </w:r>
      <w:r w:rsidR="00187791" w:rsidRPr="009B2CA6">
        <w:rPr>
          <w:rFonts w:ascii="Verdana" w:hAnsi="Verdana" w:cs="Times New Roman"/>
          <w:sz w:val="20"/>
          <w:szCs w:val="20"/>
        </w:rPr>
        <w:t xml:space="preserve">de </w:t>
      </w:r>
      <w:r w:rsidR="00161ED4" w:rsidRPr="009B2CA6">
        <w:rPr>
          <w:rFonts w:ascii="Verdana" w:hAnsi="Verdana" w:cs="Times New Roman"/>
          <w:sz w:val="20"/>
          <w:szCs w:val="20"/>
        </w:rPr>
        <w:t>un tratado de</w:t>
      </w:r>
      <w:r w:rsidR="00010655" w:rsidRPr="009B2CA6">
        <w:rPr>
          <w:rFonts w:ascii="Verdana" w:hAnsi="Verdana" w:cs="Times New Roman"/>
          <w:sz w:val="20"/>
          <w:szCs w:val="20"/>
        </w:rPr>
        <w:t xml:space="preserve"> inversión celebrado en</w:t>
      </w:r>
      <w:r w:rsidR="00161ED4" w:rsidRPr="009B2CA6">
        <w:rPr>
          <w:rFonts w:ascii="Verdana" w:hAnsi="Verdana" w:cs="Times New Roman"/>
          <w:sz w:val="20"/>
          <w:szCs w:val="20"/>
        </w:rPr>
        <w:t xml:space="preserve"> la fecha de </w:t>
      </w:r>
      <w:r w:rsidR="00161ED4" w:rsidRPr="009B2CA6">
        <w:rPr>
          <w:rFonts w:ascii="Verdana" w:hAnsi="Verdana" w:cs="Times New Roman"/>
          <w:sz w:val="20"/>
          <w:szCs w:val="20"/>
        </w:rPr>
        <w:lastRenderedPageBreak/>
        <w:t>entrada en vigor del Reglamento</w:t>
      </w:r>
      <w:r w:rsidR="00B80A4A" w:rsidRPr="009B2CA6">
        <w:rPr>
          <w:rFonts w:ascii="Verdana" w:hAnsi="Verdana" w:cs="Times New Roman"/>
          <w:sz w:val="20"/>
          <w:szCs w:val="20"/>
        </w:rPr>
        <w:t xml:space="preserve"> o posterior</w:t>
      </w:r>
      <w:r w:rsidR="000D4A31" w:rsidRPr="009B2CA6">
        <w:rPr>
          <w:rStyle w:val="Refdenotaalpie"/>
          <w:rFonts w:ascii="Verdana" w:hAnsi="Verdana" w:cs="Times New Roman"/>
          <w:sz w:val="20"/>
          <w:szCs w:val="20"/>
        </w:rPr>
        <w:footnoteReference w:id="39"/>
      </w:r>
      <w:r w:rsidR="000D4A31" w:rsidRPr="009B2CA6">
        <w:rPr>
          <w:rFonts w:ascii="Verdana" w:hAnsi="Verdana" w:cs="Times New Roman"/>
          <w:sz w:val="20"/>
          <w:szCs w:val="20"/>
        </w:rPr>
        <w:t>. No ob</w:t>
      </w:r>
      <w:r w:rsidR="008B6A5D" w:rsidRPr="009B2CA6">
        <w:rPr>
          <w:rFonts w:ascii="Verdana" w:hAnsi="Verdana" w:cs="Times New Roman"/>
          <w:sz w:val="20"/>
          <w:szCs w:val="20"/>
        </w:rPr>
        <w:t>stante, los Estados Partes del t</w:t>
      </w:r>
      <w:r w:rsidR="006335E4" w:rsidRPr="009B2CA6">
        <w:rPr>
          <w:rFonts w:ascii="Verdana" w:hAnsi="Verdana" w:cs="Times New Roman"/>
          <w:sz w:val="20"/>
          <w:szCs w:val="20"/>
        </w:rPr>
        <w:t>ratado pueden</w:t>
      </w:r>
      <w:r w:rsidR="000D4A31" w:rsidRPr="009B2CA6">
        <w:rPr>
          <w:rFonts w:ascii="Verdana" w:hAnsi="Verdana" w:cs="Times New Roman"/>
          <w:sz w:val="20"/>
          <w:szCs w:val="20"/>
        </w:rPr>
        <w:t xml:space="preserve"> modificar la regla de aplicación por defecto, optando por no in</w:t>
      </w:r>
      <w:r w:rsidR="008562A9" w:rsidRPr="009B2CA6">
        <w:rPr>
          <w:rFonts w:ascii="Verdana" w:hAnsi="Verdana" w:cs="Times New Roman"/>
          <w:sz w:val="20"/>
          <w:szCs w:val="20"/>
        </w:rPr>
        <w:t>corporarlas en futuros tratados e</w:t>
      </w:r>
      <w:r w:rsidR="000D4A31" w:rsidRPr="009B2CA6">
        <w:rPr>
          <w:rFonts w:ascii="Verdana" w:hAnsi="Verdana" w:cs="Times New Roman"/>
          <w:sz w:val="20"/>
          <w:szCs w:val="20"/>
        </w:rPr>
        <w:t xml:space="preserve"> incorporando expresamente una exclusión del Reglamento sobre </w:t>
      </w:r>
      <w:r w:rsidR="002B044B" w:rsidRPr="009B2CA6">
        <w:rPr>
          <w:rFonts w:ascii="Verdana" w:hAnsi="Verdana" w:cs="Times New Roman"/>
          <w:sz w:val="20"/>
          <w:szCs w:val="20"/>
        </w:rPr>
        <w:t xml:space="preserve">la </w:t>
      </w:r>
      <w:r w:rsidR="000D4A31" w:rsidRPr="009B2CA6">
        <w:rPr>
          <w:rFonts w:ascii="Verdana" w:hAnsi="Verdana" w:cs="Times New Roman"/>
          <w:sz w:val="20"/>
          <w:szCs w:val="20"/>
        </w:rPr>
        <w:t>Transparencia de la CNUDMI</w:t>
      </w:r>
      <w:r w:rsidR="008562A9" w:rsidRPr="009B2CA6">
        <w:rPr>
          <w:rFonts w:ascii="Verdana" w:hAnsi="Verdana" w:cs="Times New Roman"/>
          <w:sz w:val="20"/>
          <w:szCs w:val="20"/>
        </w:rPr>
        <w:t>,</w:t>
      </w:r>
      <w:r w:rsidR="000D4A31" w:rsidRPr="009B2CA6">
        <w:rPr>
          <w:rFonts w:ascii="Verdana" w:hAnsi="Verdana" w:cs="Times New Roman"/>
          <w:sz w:val="20"/>
          <w:szCs w:val="20"/>
        </w:rPr>
        <w:t xml:space="preserve"> o especificando que solo se aplicará el Reglame</w:t>
      </w:r>
      <w:r w:rsidR="00C50E87" w:rsidRPr="009B2CA6">
        <w:rPr>
          <w:rFonts w:ascii="Verdana" w:hAnsi="Verdana" w:cs="Times New Roman"/>
          <w:sz w:val="20"/>
          <w:szCs w:val="20"/>
        </w:rPr>
        <w:t>nto de A</w:t>
      </w:r>
      <w:r w:rsidR="000D4A31" w:rsidRPr="009B2CA6">
        <w:rPr>
          <w:rFonts w:ascii="Verdana" w:hAnsi="Verdana" w:cs="Times New Roman"/>
          <w:sz w:val="20"/>
          <w:szCs w:val="20"/>
        </w:rPr>
        <w:t>rbitraje de la CNUDMI tal como fue adoptado en 1976</w:t>
      </w:r>
      <w:r w:rsidR="008562A9" w:rsidRPr="009B2CA6">
        <w:rPr>
          <w:rFonts w:ascii="Verdana" w:hAnsi="Verdana" w:cs="Times New Roman"/>
          <w:sz w:val="20"/>
          <w:szCs w:val="20"/>
        </w:rPr>
        <w:t>,</w:t>
      </w:r>
      <w:r w:rsidR="000D4A31" w:rsidRPr="009B2CA6">
        <w:rPr>
          <w:rFonts w:ascii="Verdana" w:hAnsi="Verdana" w:cs="Times New Roman"/>
          <w:sz w:val="20"/>
          <w:szCs w:val="20"/>
        </w:rPr>
        <w:t xml:space="preserve"> excluye</w:t>
      </w:r>
      <w:r w:rsidR="004F3BF6" w:rsidRPr="009B2CA6">
        <w:rPr>
          <w:rFonts w:ascii="Verdana" w:hAnsi="Verdana" w:cs="Times New Roman"/>
          <w:sz w:val="20"/>
          <w:szCs w:val="20"/>
        </w:rPr>
        <w:t>ndo así el artículo 1.</w:t>
      </w:r>
      <w:r w:rsidR="000D4A31" w:rsidRPr="009B2CA6">
        <w:rPr>
          <w:rFonts w:ascii="Verdana" w:hAnsi="Verdana" w:cs="Times New Roman"/>
          <w:sz w:val="20"/>
          <w:szCs w:val="20"/>
        </w:rPr>
        <w:t xml:space="preserve">4 del </w:t>
      </w:r>
      <w:r w:rsidR="00C50E87" w:rsidRPr="009B2CA6">
        <w:rPr>
          <w:rFonts w:ascii="Verdana" w:hAnsi="Verdana" w:cs="Times New Roman"/>
          <w:sz w:val="20"/>
          <w:szCs w:val="20"/>
        </w:rPr>
        <w:t>actual Reglamento</w:t>
      </w:r>
      <w:r w:rsidR="004F3BF6" w:rsidRPr="009B2CA6">
        <w:rPr>
          <w:rFonts w:ascii="Verdana" w:hAnsi="Verdana" w:cs="Times New Roman"/>
          <w:sz w:val="20"/>
          <w:szCs w:val="20"/>
        </w:rPr>
        <w:t xml:space="preserve"> de Arbitraje de la CNUDMI</w:t>
      </w:r>
      <w:r w:rsidR="00010655" w:rsidRPr="009B2CA6">
        <w:rPr>
          <w:rStyle w:val="Refdenotaalpie"/>
          <w:rFonts w:ascii="Verdana" w:hAnsi="Verdana" w:cs="Times New Roman"/>
          <w:sz w:val="20"/>
          <w:szCs w:val="20"/>
        </w:rPr>
        <w:footnoteReference w:id="40"/>
      </w:r>
      <w:r w:rsidR="000D4A31" w:rsidRPr="009B2CA6">
        <w:rPr>
          <w:rFonts w:ascii="Verdana" w:hAnsi="Verdana" w:cs="Times New Roman"/>
          <w:sz w:val="20"/>
          <w:szCs w:val="20"/>
        </w:rPr>
        <w:t>.</w:t>
      </w:r>
      <w:r w:rsidR="00BF7B6D" w:rsidRPr="009B2CA6">
        <w:rPr>
          <w:rFonts w:ascii="Verdana" w:hAnsi="Verdana" w:cs="Times New Roman"/>
          <w:sz w:val="20"/>
          <w:szCs w:val="20"/>
        </w:rPr>
        <w:t xml:space="preserve"> </w:t>
      </w:r>
    </w:p>
    <w:p w:rsidR="00A254A7" w:rsidRPr="009B2CA6" w:rsidRDefault="00EC5C1A"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El</w:t>
      </w:r>
      <w:r w:rsidR="00184EB8" w:rsidRPr="009B2CA6">
        <w:rPr>
          <w:rFonts w:ascii="Verdana" w:hAnsi="Verdana" w:cs="Times New Roman"/>
          <w:sz w:val="20"/>
          <w:szCs w:val="20"/>
        </w:rPr>
        <w:t xml:space="preserve"> </w:t>
      </w:r>
      <w:r w:rsidR="002B044B" w:rsidRPr="009B2CA6">
        <w:rPr>
          <w:rFonts w:ascii="Verdana" w:hAnsi="Verdana" w:cs="Times New Roman"/>
          <w:sz w:val="20"/>
          <w:szCs w:val="20"/>
        </w:rPr>
        <w:t>A</w:t>
      </w:r>
      <w:r w:rsidRPr="009B2CA6">
        <w:rPr>
          <w:rFonts w:ascii="Verdana" w:hAnsi="Verdana" w:cs="Times New Roman"/>
          <w:sz w:val="20"/>
          <w:szCs w:val="20"/>
        </w:rPr>
        <w:t xml:space="preserve">rtículo 1.1 del Reglamento regula </w:t>
      </w:r>
      <w:r w:rsidR="00562EE2">
        <w:rPr>
          <w:rFonts w:ascii="Verdana" w:hAnsi="Verdana" w:cs="Times New Roman"/>
          <w:sz w:val="20"/>
          <w:szCs w:val="20"/>
        </w:rPr>
        <w:t>su aplicabilidad</w:t>
      </w:r>
      <w:r w:rsidRPr="009B2CA6">
        <w:rPr>
          <w:rFonts w:ascii="Verdana" w:hAnsi="Verdana" w:cs="Times New Roman"/>
          <w:sz w:val="20"/>
          <w:szCs w:val="20"/>
        </w:rPr>
        <w:t xml:space="preserve"> en el arbitraje inversionista-Estado</w:t>
      </w:r>
      <w:r w:rsidR="00563EE0" w:rsidRPr="009B2CA6">
        <w:rPr>
          <w:rFonts w:ascii="Verdana" w:hAnsi="Verdana" w:cs="Times New Roman"/>
          <w:sz w:val="20"/>
          <w:szCs w:val="20"/>
        </w:rPr>
        <w:t>.</w:t>
      </w:r>
      <w:r w:rsidRPr="009B2CA6">
        <w:rPr>
          <w:rFonts w:ascii="Verdana" w:hAnsi="Verdana" w:cs="Times New Roman"/>
          <w:sz w:val="20"/>
          <w:szCs w:val="20"/>
        </w:rPr>
        <w:t xml:space="preserve"> </w:t>
      </w:r>
      <w:r w:rsidR="008B6A5D" w:rsidRPr="009B2CA6">
        <w:rPr>
          <w:rFonts w:ascii="Verdana" w:hAnsi="Verdana" w:cs="Times New Roman"/>
          <w:sz w:val="20"/>
          <w:szCs w:val="20"/>
        </w:rPr>
        <w:t>En este sentido, d</w:t>
      </w:r>
      <w:r w:rsidR="00261D12" w:rsidRPr="009B2CA6">
        <w:rPr>
          <w:rFonts w:ascii="Verdana" w:hAnsi="Verdana" w:cs="Times New Roman"/>
          <w:sz w:val="20"/>
          <w:szCs w:val="20"/>
        </w:rPr>
        <w:t>esde sus inicios</w:t>
      </w:r>
      <w:r w:rsidRPr="009B2CA6">
        <w:rPr>
          <w:rFonts w:ascii="Verdana" w:hAnsi="Verdana" w:cs="Times New Roman"/>
          <w:sz w:val="20"/>
          <w:szCs w:val="20"/>
        </w:rPr>
        <w:t xml:space="preserve"> el propio Reglamento establece cuatro condiciones o requisitos que fundame</w:t>
      </w:r>
      <w:r w:rsidR="00B80A4A" w:rsidRPr="009B2CA6">
        <w:rPr>
          <w:rFonts w:ascii="Verdana" w:hAnsi="Verdana" w:cs="Times New Roman"/>
          <w:sz w:val="20"/>
          <w:szCs w:val="20"/>
        </w:rPr>
        <w:t>ntan la aplicabilidad del mismo y que</w:t>
      </w:r>
      <w:r w:rsidR="001560AF" w:rsidRPr="009B2CA6">
        <w:rPr>
          <w:rFonts w:ascii="Verdana" w:hAnsi="Verdana" w:cs="Times New Roman"/>
          <w:sz w:val="20"/>
          <w:szCs w:val="20"/>
        </w:rPr>
        <w:t xml:space="preserve"> </w:t>
      </w:r>
      <w:r w:rsidR="004F3BF6" w:rsidRPr="009B2CA6">
        <w:rPr>
          <w:rFonts w:ascii="Verdana" w:hAnsi="Verdana" w:cs="Times New Roman"/>
          <w:sz w:val="20"/>
          <w:szCs w:val="20"/>
        </w:rPr>
        <w:t>analizamos a continuación:</w:t>
      </w:r>
      <w:r w:rsidRPr="009B2CA6">
        <w:rPr>
          <w:rFonts w:ascii="Verdana" w:hAnsi="Verdana" w:cs="Times New Roman"/>
          <w:sz w:val="20"/>
          <w:szCs w:val="20"/>
        </w:rPr>
        <w:t xml:space="preserve"> </w:t>
      </w:r>
    </w:p>
    <w:p w:rsidR="00A254A7" w:rsidRPr="009B2CA6" w:rsidRDefault="00A254A7" w:rsidP="006D3AD5">
      <w:pPr>
        <w:pStyle w:val="Contenidodelatabla"/>
        <w:numPr>
          <w:ilvl w:val="0"/>
          <w:numId w:val="6"/>
        </w:numPr>
        <w:spacing w:line="240" w:lineRule="auto"/>
        <w:rPr>
          <w:rFonts w:ascii="Verdana" w:hAnsi="Verdana" w:cs="Times New Roman"/>
          <w:sz w:val="20"/>
          <w:szCs w:val="20"/>
        </w:rPr>
      </w:pPr>
      <w:r w:rsidRPr="009B2CA6">
        <w:rPr>
          <w:rFonts w:ascii="Verdana" w:hAnsi="Verdana" w:cs="Times New Roman"/>
          <w:sz w:val="20"/>
          <w:szCs w:val="20"/>
        </w:rPr>
        <w:t>L</w:t>
      </w:r>
      <w:r w:rsidR="00EC5C1A" w:rsidRPr="009B2CA6">
        <w:rPr>
          <w:rFonts w:ascii="Verdana" w:hAnsi="Verdana" w:cs="Times New Roman"/>
          <w:sz w:val="20"/>
          <w:szCs w:val="20"/>
        </w:rPr>
        <w:t>a controversia debe ser</w:t>
      </w:r>
      <w:r w:rsidR="00EC5C1A" w:rsidRPr="009B2CA6">
        <w:rPr>
          <w:rFonts w:ascii="Verdana" w:hAnsi="Verdana" w:cs="Times New Roman"/>
          <w:i/>
          <w:sz w:val="20"/>
          <w:szCs w:val="20"/>
        </w:rPr>
        <w:t xml:space="preserve"> entre un inversionista y un Estado</w:t>
      </w:r>
      <w:r w:rsidR="00EC5C1A" w:rsidRPr="009B2CA6">
        <w:rPr>
          <w:rFonts w:ascii="Verdana" w:hAnsi="Verdana" w:cs="Times New Roman"/>
          <w:sz w:val="20"/>
          <w:szCs w:val="20"/>
        </w:rPr>
        <w:t xml:space="preserve">. </w:t>
      </w:r>
      <w:r w:rsidR="006335E4" w:rsidRPr="009B2CA6">
        <w:rPr>
          <w:rFonts w:ascii="Verdana" w:hAnsi="Verdana" w:cs="Times New Roman"/>
          <w:sz w:val="20"/>
          <w:szCs w:val="20"/>
        </w:rPr>
        <w:t>Al respecto</w:t>
      </w:r>
      <w:r w:rsidR="00EC5C1A" w:rsidRPr="009B2CA6">
        <w:rPr>
          <w:rFonts w:ascii="Verdana" w:hAnsi="Verdana" w:cs="Times New Roman"/>
          <w:sz w:val="20"/>
          <w:szCs w:val="20"/>
        </w:rPr>
        <w:t>, debe reconocer</w:t>
      </w:r>
      <w:r w:rsidR="006335E4" w:rsidRPr="009B2CA6">
        <w:rPr>
          <w:rFonts w:ascii="Verdana" w:hAnsi="Verdana" w:cs="Times New Roman"/>
          <w:sz w:val="20"/>
          <w:szCs w:val="20"/>
        </w:rPr>
        <w:t>se</w:t>
      </w:r>
      <w:r w:rsidR="00EC5C1A" w:rsidRPr="009B2CA6">
        <w:rPr>
          <w:rFonts w:ascii="Verdana" w:hAnsi="Verdana" w:cs="Times New Roman"/>
          <w:sz w:val="20"/>
          <w:szCs w:val="20"/>
        </w:rPr>
        <w:t xml:space="preserve"> que el propio Reglamento no específica qu</w:t>
      </w:r>
      <w:r w:rsidR="006335E4" w:rsidRPr="009B2CA6">
        <w:rPr>
          <w:rFonts w:ascii="Verdana" w:hAnsi="Verdana" w:cs="Times New Roman"/>
          <w:sz w:val="20"/>
          <w:szCs w:val="20"/>
        </w:rPr>
        <w:t>é condiciones, requisitos, o</w:t>
      </w:r>
      <w:r w:rsidR="00EC5C1A" w:rsidRPr="009B2CA6">
        <w:rPr>
          <w:rFonts w:ascii="Verdana" w:hAnsi="Verdana" w:cs="Times New Roman"/>
          <w:sz w:val="20"/>
          <w:szCs w:val="20"/>
        </w:rPr>
        <w:t xml:space="preserve"> el tipo de persona respecto al inversionista, por lo que se presume un concepto amplio del mismo, pudiendo ser persona natural o persona jurídica; </w:t>
      </w:r>
    </w:p>
    <w:p w:rsidR="00A254A7" w:rsidRPr="009B2CA6" w:rsidRDefault="00EC5C1A" w:rsidP="006D3AD5">
      <w:pPr>
        <w:pStyle w:val="Contenidodelatabla"/>
        <w:numPr>
          <w:ilvl w:val="0"/>
          <w:numId w:val="6"/>
        </w:numPr>
        <w:spacing w:line="240" w:lineRule="auto"/>
        <w:rPr>
          <w:rFonts w:ascii="Verdana" w:hAnsi="Verdana" w:cs="Times New Roman"/>
          <w:sz w:val="20"/>
          <w:szCs w:val="20"/>
        </w:rPr>
      </w:pPr>
      <w:r w:rsidRPr="009B2CA6">
        <w:rPr>
          <w:rFonts w:ascii="Verdana" w:hAnsi="Verdana" w:cs="Times New Roman"/>
          <w:sz w:val="20"/>
          <w:szCs w:val="20"/>
        </w:rPr>
        <w:t xml:space="preserve">la controversia debe </w:t>
      </w:r>
      <w:r w:rsidR="00E17081" w:rsidRPr="009B2CA6">
        <w:rPr>
          <w:rFonts w:ascii="Verdana" w:hAnsi="Verdana" w:cs="Times New Roman"/>
          <w:i/>
          <w:sz w:val="20"/>
          <w:szCs w:val="20"/>
        </w:rPr>
        <w:t>surgir en virtud de un T</w:t>
      </w:r>
      <w:r w:rsidRPr="009B2CA6">
        <w:rPr>
          <w:rFonts w:ascii="Verdana" w:hAnsi="Verdana" w:cs="Times New Roman"/>
          <w:i/>
          <w:sz w:val="20"/>
          <w:szCs w:val="20"/>
        </w:rPr>
        <w:t xml:space="preserve">ratado de inversión </w:t>
      </w:r>
      <w:r w:rsidRPr="009B2CA6">
        <w:rPr>
          <w:rFonts w:ascii="Verdana" w:hAnsi="Verdana" w:cs="Times New Roman"/>
          <w:sz w:val="20"/>
          <w:szCs w:val="20"/>
        </w:rPr>
        <w:t>que establezca la protección de las inver</w:t>
      </w:r>
      <w:r w:rsidR="008C26B9" w:rsidRPr="009B2CA6">
        <w:rPr>
          <w:rFonts w:ascii="Verdana" w:hAnsi="Verdana" w:cs="Times New Roman"/>
          <w:sz w:val="20"/>
          <w:szCs w:val="20"/>
        </w:rPr>
        <w:t xml:space="preserve">siones </w:t>
      </w:r>
      <w:r w:rsidR="00657B46" w:rsidRPr="009B2CA6">
        <w:rPr>
          <w:rFonts w:ascii="Verdana" w:hAnsi="Verdana" w:cs="Times New Roman"/>
          <w:sz w:val="20"/>
          <w:szCs w:val="20"/>
        </w:rPr>
        <w:t>o</w:t>
      </w:r>
      <w:r w:rsidRPr="009B2CA6">
        <w:rPr>
          <w:rFonts w:ascii="Verdana" w:hAnsi="Verdana" w:cs="Times New Roman"/>
          <w:sz w:val="20"/>
          <w:szCs w:val="20"/>
        </w:rPr>
        <w:t xml:space="preserve"> los inversionistas. Esta segunda cuestión merece ser analizada desde dos </w:t>
      </w:r>
      <w:r w:rsidR="00E20204" w:rsidRPr="009B2CA6">
        <w:rPr>
          <w:rFonts w:ascii="Verdana" w:hAnsi="Verdana" w:cs="Times New Roman"/>
          <w:sz w:val="20"/>
          <w:szCs w:val="20"/>
        </w:rPr>
        <w:t>perspectivas fundamentales. La primera</w:t>
      </w:r>
      <w:r w:rsidRPr="009B2CA6">
        <w:rPr>
          <w:rFonts w:ascii="Verdana" w:hAnsi="Verdana" w:cs="Times New Roman"/>
          <w:sz w:val="20"/>
          <w:szCs w:val="20"/>
        </w:rPr>
        <w:t xml:space="preserve"> es </w:t>
      </w:r>
      <w:r w:rsidR="00E20204" w:rsidRPr="009B2CA6">
        <w:rPr>
          <w:rFonts w:ascii="Verdana" w:hAnsi="Verdana" w:cs="Times New Roman"/>
          <w:sz w:val="20"/>
          <w:szCs w:val="20"/>
        </w:rPr>
        <w:t xml:space="preserve">la </w:t>
      </w:r>
      <w:r w:rsidRPr="009B2CA6">
        <w:rPr>
          <w:rFonts w:ascii="Verdana" w:hAnsi="Verdana" w:cs="Times New Roman"/>
          <w:sz w:val="20"/>
          <w:szCs w:val="20"/>
        </w:rPr>
        <w:t>relacionada con la existen</w:t>
      </w:r>
      <w:r w:rsidR="00722ADD" w:rsidRPr="009B2CA6">
        <w:rPr>
          <w:rFonts w:ascii="Verdana" w:hAnsi="Verdana" w:cs="Times New Roman"/>
          <w:sz w:val="20"/>
          <w:szCs w:val="20"/>
        </w:rPr>
        <w:t>cia previa de un T</w:t>
      </w:r>
      <w:r w:rsidR="00E20204" w:rsidRPr="009B2CA6">
        <w:rPr>
          <w:rFonts w:ascii="Verdana" w:hAnsi="Verdana" w:cs="Times New Roman"/>
          <w:sz w:val="20"/>
          <w:szCs w:val="20"/>
        </w:rPr>
        <w:t>ratado.</w:t>
      </w:r>
      <w:r w:rsidR="002E5B49" w:rsidRPr="009B2CA6">
        <w:rPr>
          <w:rFonts w:ascii="Verdana" w:hAnsi="Verdana" w:cs="Times New Roman"/>
          <w:sz w:val="20"/>
          <w:szCs w:val="20"/>
        </w:rPr>
        <w:t xml:space="preserve"> </w:t>
      </w:r>
      <w:r w:rsidR="00E20204" w:rsidRPr="009B2CA6">
        <w:rPr>
          <w:rFonts w:ascii="Verdana" w:hAnsi="Verdana" w:cs="Times New Roman"/>
          <w:sz w:val="20"/>
          <w:szCs w:val="20"/>
        </w:rPr>
        <w:t>E</w:t>
      </w:r>
      <w:r w:rsidRPr="009B2CA6">
        <w:rPr>
          <w:rFonts w:ascii="Verdana" w:hAnsi="Verdana" w:cs="Times New Roman"/>
          <w:sz w:val="20"/>
          <w:szCs w:val="20"/>
        </w:rPr>
        <w:t>l propio Reglamento condiciona su apli</w:t>
      </w:r>
      <w:r w:rsidR="002E5B49" w:rsidRPr="009B2CA6">
        <w:rPr>
          <w:rFonts w:ascii="Verdana" w:hAnsi="Verdana" w:cs="Times New Roman"/>
          <w:sz w:val="20"/>
          <w:szCs w:val="20"/>
        </w:rPr>
        <w:t>cabilidad a la existencia</w:t>
      </w:r>
      <w:r w:rsidRPr="009B2CA6">
        <w:rPr>
          <w:rFonts w:ascii="Verdana" w:hAnsi="Verdana" w:cs="Times New Roman"/>
          <w:sz w:val="20"/>
          <w:szCs w:val="20"/>
        </w:rPr>
        <w:t xml:space="preserve"> de un tratado, condición</w:t>
      </w:r>
      <w:r w:rsidR="004F3BF6" w:rsidRPr="009B2CA6">
        <w:rPr>
          <w:rFonts w:ascii="Verdana" w:hAnsi="Verdana" w:cs="Times New Roman"/>
          <w:sz w:val="20"/>
          <w:szCs w:val="20"/>
        </w:rPr>
        <w:t xml:space="preserve"> sin la cual no </w:t>
      </w:r>
      <w:r w:rsidR="00CB52ED" w:rsidRPr="009B2CA6">
        <w:rPr>
          <w:rFonts w:ascii="Verdana" w:hAnsi="Verdana" w:cs="Times New Roman"/>
          <w:sz w:val="20"/>
          <w:szCs w:val="20"/>
        </w:rPr>
        <w:t>surtiría efectos</w:t>
      </w:r>
      <w:r w:rsidR="007A5B0D" w:rsidRPr="009B2CA6">
        <w:rPr>
          <w:rFonts w:ascii="Verdana" w:hAnsi="Verdana" w:cs="Times New Roman"/>
          <w:sz w:val="20"/>
          <w:szCs w:val="20"/>
        </w:rPr>
        <w:t>.</w:t>
      </w:r>
      <w:r w:rsidRPr="009B2CA6">
        <w:rPr>
          <w:rFonts w:ascii="Verdana" w:hAnsi="Verdana" w:cs="Times New Roman"/>
          <w:sz w:val="20"/>
          <w:szCs w:val="20"/>
        </w:rPr>
        <w:t xml:space="preserve"> </w:t>
      </w:r>
      <w:r w:rsidR="007A5B0D" w:rsidRPr="009B2CA6">
        <w:rPr>
          <w:rFonts w:ascii="Verdana" w:hAnsi="Verdana" w:cs="Times New Roman"/>
          <w:sz w:val="20"/>
          <w:szCs w:val="20"/>
        </w:rPr>
        <w:t>E</w:t>
      </w:r>
      <w:r w:rsidRPr="009B2CA6">
        <w:rPr>
          <w:rFonts w:ascii="Verdana" w:hAnsi="Verdana" w:cs="Times New Roman"/>
          <w:sz w:val="20"/>
          <w:szCs w:val="20"/>
        </w:rPr>
        <w:t xml:space="preserve">n segundo lugar, el tratado debe proteger las “inversiones o los inversionistas”, </w:t>
      </w:r>
      <w:r w:rsidR="00CB52ED" w:rsidRPr="009B2CA6">
        <w:rPr>
          <w:rFonts w:ascii="Verdana" w:hAnsi="Verdana" w:cs="Times New Roman"/>
          <w:sz w:val="20"/>
          <w:szCs w:val="20"/>
        </w:rPr>
        <w:t>no así a</w:t>
      </w:r>
      <w:r w:rsidR="00E20204" w:rsidRPr="009B2CA6">
        <w:rPr>
          <w:rFonts w:ascii="Verdana" w:hAnsi="Verdana" w:cs="Times New Roman"/>
          <w:sz w:val="20"/>
          <w:szCs w:val="20"/>
        </w:rPr>
        <w:t xml:space="preserve"> los Estados</w:t>
      </w:r>
      <w:r w:rsidRPr="009B2CA6">
        <w:rPr>
          <w:rFonts w:ascii="Verdana" w:hAnsi="Verdana" w:cs="Times New Roman"/>
          <w:sz w:val="20"/>
          <w:szCs w:val="20"/>
        </w:rPr>
        <w:t xml:space="preserve">. </w:t>
      </w:r>
      <w:r w:rsidR="00CB52ED" w:rsidRPr="009B2CA6">
        <w:rPr>
          <w:rFonts w:ascii="Verdana" w:hAnsi="Verdana" w:cs="Times New Roman"/>
          <w:sz w:val="20"/>
          <w:szCs w:val="20"/>
        </w:rPr>
        <w:t>Estamos ante una demostración más de la</w:t>
      </w:r>
      <w:r w:rsidRPr="009B2CA6">
        <w:rPr>
          <w:rFonts w:ascii="Verdana" w:hAnsi="Verdana" w:cs="Times New Roman"/>
          <w:sz w:val="20"/>
          <w:szCs w:val="20"/>
        </w:rPr>
        <w:t xml:space="preserve"> protección unilateral </w:t>
      </w:r>
      <w:r w:rsidR="003A7B41" w:rsidRPr="009B2CA6">
        <w:rPr>
          <w:rFonts w:ascii="Verdana" w:hAnsi="Verdana" w:cs="Times New Roman"/>
          <w:sz w:val="20"/>
          <w:szCs w:val="20"/>
        </w:rPr>
        <w:t>establecida</w:t>
      </w:r>
      <w:r w:rsidRPr="009B2CA6">
        <w:rPr>
          <w:rFonts w:ascii="Verdana" w:hAnsi="Verdana" w:cs="Times New Roman"/>
          <w:sz w:val="20"/>
          <w:szCs w:val="20"/>
        </w:rPr>
        <w:t xml:space="preserve"> en la inmensa mayoría de los tratados de inversión y que enfatiza</w:t>
      </w:r>
      <w:r w:rsidR="00CB52ED" w:rsidRPr="009B2CA6">
        <w:rPr>
          <w:rFonts w:ascii="Verdana" w:hAnsi="Verdana" w:cs="Times New Roman"/>
          <w:sz w:val="20"/>
          <w:szCs w:val="20"/>
        </w:rPr>
        <w:t>n</w:t>
      </w:r>
      <w:r w:rsidR="00A67274" w:rsidRPr="009B2CA6">
        <w:rPr>
          <w:rFonts w:ascii="Verdana" w:hAnsi="Verdana" w:cs="Times New Roman"/>
          <w:sz w:val="20"/>
          <w:szCs w:val="20"/>
        </w:rPr>
        <w:t>,</w:t>
      </w:r>
      <w:r w:rsidR="00CB52ED" w:rsidRPr="009B2CA6">
        <w:rPr>
          <w:rFonts w:ascii="Verdana" w:hAnsi="Verdana" w:cs="Times New Roman"/>
          <w:sz w:val="20"/>
          <w:szCs w:val="20"/>
        </w:rPr>
        <w:t xml:space="preserve"> perpetúa, </w:t>
      </w:r>
      <w:r w:rsidRPr="009B2CA6">
        <w:rPr>
          <w:rFonts w:ascii="Verdana" w:hAnsi="Verdana" w:cs="Times New Roman"/>
          <w:sz w:val="20"/>
          <w:szCs w:val="20"/>
        </w:rPr>
        <w:t>la desigual</w:t>
      </w:r>
      <w:r w:rsidR="00722ADD" w:rsidRPr="009B2CA6">
        <w:rPr>
          <w:rFonts w:ascii="Verdana" w:hAnsi="Verdana" w:cs="Times New Roman"/>
          <w:sz w:val="20"/>
          <w:szCs w:val="20"/>
        </w:rPr>
        <w:t>dad</w:t>
      </w:r>
      <w:r w:rsidR="003A7B41" w:rsidRPr="009B2CA6">
        <w:rPr>
          <w:rFonts w:ascii="Verdana" w:hAnsi="Verdana" w:cs="Times New Roman"/>
          <w:sz w:val="20"/>
          <w:szCs w:val="20"/>
        </w:rPr>
        <w:t xml:space="preserve"> entre las P</w:t>
      </w:r>
      <w:r w:rsidRPr="009B2CA6">
        <w:rPr>
          <w:rFonts w:ascii="Verdana" w:hAnsi="Verdana" w:cs="Times New Roman"/>
          <w:sz w:val="20"/>
          <w:szCs w:val="20"/>
        </w:rPr>
        <w:t>artes contendientes, per</w:t>
      </w:r>
      <w:r w:rsidR="00CB52ED" w:rsidRPr="009B2CA6">
        <w:rPr>
          <w:rFonts w:ascii="Verdana" w:hAnsi="Verdana" w:cs="Times New Roman"/>
          <w:sz w:val="20"/>
          <w:szCs w:val="20"/>
        </w:rPr>
        <w:t>sistiendo</w:t>
      </w:r>
      <w:r w:rsidRPr="009B2CA6">
        <w:rPr>
          <w:rFonts w:ascii="Verdana" w:hAnsi="Verdana" w:cs="Times New Roman"/>
          <w:sz w:val="20"/>
          <w:szCs w:val="20"/>
        </w:rPr>
        <w:t xml:space="preserve"> su postergabilidad en el futuro, siendo la misma </w:t>
      </w:r>
      <w:r w:rsidRPr="009B2CA6">
        <w:rPr>
          <w:rFonts w:ascii="Verdana" w:hAnsi="Verdana" w:cs="Times New Roman"/>
          <w:i/>
          <w:sz w:val="20"/>
          <w:szCs w:val="20"/>
        </w:rPr>
        <w:t>contrarius sensus</w:t>
      </w:r>
      <w:r w:rsidRPr="009B2CA6">
        <w:rPr>
          <w:rFonts w:ascii="Verdana" w:hAnsi="Verdana" w:cs="Times New Roman"/>
          <w:sz w:val="20"/>
          <w:szCs w:val="20"/>
        </w:rPr>
        <w:t xml:space="preserve"> a la existencia de una verdadera transparencia</w:t>
      </w:r>
      <w:r w:rsidR="007A5B0D" w:rsidRPr="009B2CA6">
        <w:rPr>
          <w:rFonts w:ascii="Verdana" w:hAnsi="Verdana" w:cs="Times New Roman"/>
          <w:sz w:val="20"/>
          <w:szCs w:val="20"/>
        </w:rPr>
        <w:t xml:space="preserve"> en el arbitraje de inversiones</w:t>
      </w:r>
      <w:r w:rsidRPr="009B2CA6">
        <w:rPr>
          <w:rFonts w:ascii="Verdana" w:hAnsi="Verdana" w:cs="Times New Roman"/>
          <w:sz w:val="20"/>
          <w:szCs w:val="20"/>
        </w:rPr>
        <w:t xml:space="preserve">; </w:t>
      </w:r>
    </w:p>
    <w:p w:rsidR="001E5DA5" w:rsidRPr="009B2CA6" w:rsidRDefault="00EC5C1A" w:rsidP="006D3AD5">
      <w:pPr>
        <w:pStyle w:val="Contenidodelatabla"/>
        <w:numPr>
          <w:ilvl w:val="0"/>
          <w:numId w:val="6"/>
        </w:numPr>
        <w:spacing w:line="240" w:lineRule="auto"/>
        <w:rPr>
          <w:rFonts w:ascii="Verdana" w:hAnsi="Verdana" w:cs="Times New Roman"/>
          <w:sz w:val="20"/>
          <w:szCs w:val="20"/>
        </w:rPr>
      </w:pPr>
      <w:r w:rsidRPr="009B2CA6">
        <w:rPr>
          <w:rFonts w:ascii="Verdana" w:hAnsi="Verdana" w:cs="Times New Roman"/>
          <w:sz w:val="20"/>
          <w:szCs w:val="20"/>
        </w:rPr>
        <w:t xml:space="preserve">el arbitraje debe entablarse </w:t>
      </w:r>
      <w:r w:rsidRPr="009B2CA6">
        <w:rPr>
          <w:rFonts w:ascii="Verdana" w:hAnsi="Verdana" w:cs="Times New Roman"/>
          <w:i/>
          <w:sz w:val="20"/>
          <w:szCs w:val="20"/>
        </w:rPr>
        <w:t>en virtud del Reglamento de Arbitraje de la CNUDMI</w:t>
      </w:r>
      <w:r w:rsidRPr="009B2CA6">
        <w:rPr>
          <w:rFonts w:ascii="Verdana" w:hAnsi="Verdana" w:cs="Times New Roman"/>
          <w:sz w:val="20"/>
          <w:szCs w:val="20"/>
        </w:rPr>
        <w:t xml:space="preserve">. Al respecto, basta con que exista una referencia al Reglamento de la CNUDMI en el tratado para que pueda aplicarse el Reglamento sobre </w:t>
      </w:r>
      <w:r w:rsidR="001E5DA5" w:rsidRPr="009B2CA6">
        <w:rPr>
          <w:rFonts w:ascii="Verdana" w:hAnsi="Verdana" w:cs="Times New Roman"/>
          <w:sz w:val="20"/>
          <w:szCs w:val="20"/>
        </w:rPr>
        <w:t xml:space="preserve">la </w:t>
      </w:r>
      <w:r w:rsidR="009E693C" w:rsidRPr="009B2CA6">
        <w:rPr>
          <w:rFonts w:ascii="Verdana" w:hAnsi="Verdana" w:cs="Times New Roman"/>
          <w:sz w:val="20"/>
          <w:szCs w:val="20"/>
        </w:rPr>
        <w:t>Transparencia</w:t>
      </w:r>
      <w:r w:rsidRPr="009B2CA6">
        <w:rPr>
          <w:rFonts w:ascii="Verdana" w:hAnsi="Verdana" w:cs="Times New Roman"/>
          <w:sz w:val="20"/>
          <w:szCs w:val="20"/>
        </w:rPr>
        <w:t xml:space="preserve"> y;</w:t>
      </w:r>
      <w:r w:rsidR="001E5DA5" w:rsidRPr="009B2CA6">
        <w:rPr>
          <w:rFonts w:ascii="Verdana" w:hAnsi="Verdana" w:cs="Times New Roman"/>
          <w:sz w:val="20"/>
          <w:szCs w:val="20"/>
        </w:rPr>
        <w:t xml:space="preserve"> </w:t>
      </w:r>
    </w:p>
    <w:p w:rsidR="006472A5" w:rsidRPr="009B2CA6" w:rsidRDefault="00EC5C1A" w:rsidP="006D3AD5">
      <w:pPr>
        <w:pStyle w:val="Contenidodelatabla"/>
        <w:numPr>
          <w:ilvl w:val="0"/>
          <w:numId w:val="6"/>
        </w:numPr>
        <w:spacing w:line="240" w:lineRule="auto"/>
        <w:rPr>
          <w:rFonts w:ascii="Verdana" w:hAnsi="Verdana" w:cs="Times New Roman"/>
          <w:sz w:val="20"/>
          <w:szCs w:val="20"/>
        </w:rPr>
      </w:pPr>
      <w:r w:rsidRPr="009B2CA6">
        <w:rPr>
          <w:rFonts w:ascii="Verdana" w:hAnsi="Verdana" w:cs="Times New Roman"/>
          <w:sz w:val="20"/>
          <w:szCs w:val="20"/>
        </w:rPr>
        <w:t xml:space="preserve">el tratado debe celebrarse </w:t>
      </w:r>
      <w:r w:rsidRPr="009B2CA6">
        <w:rPr>
          <w:rFonts w:ascii="Verdana" w:hAnsi="Verdana" w:cs="Times New Roman"/>
          <w:i/>
          <w:sz w:val="20"/>
          <w:szCs w:val="20"/>
        </w:rPr>
        <w:t>posterior a la entrada en vigor del Reglamento.</w:t>
      </w:r>
      <w:r w:rsidRPr="009B2CA6">
        <w:rPr>
          <w:rFonts w:ascii="Verdana" w:hAnsi="Verdana" w:cs="Times New Roman"/>
          <w:sz w:val="20"/>
          <w:szCs w:val="20"/>
        </w:rPr>
        <w:t xml:space="preserve"> Como es lógico, el tratado entre el inversionista y el Estado debe ser posterior a la entrada en vigor del Reglamento para que surta efectos. </w:t>
      </w:r>
      <w:r w:rsidR="001E5DA5" w:rsidRPr="009B2CA6">
        <w:rPr>
          <w:rFonts w:ascii="Verdana" w:hAnsi="Verdana" w:cs="Times New Roman"/>
          <w:sz w:val="20"/>
          <w:szCs w:val="20"/>
        </w:rPr>
        <w:t xml:space="preserve">No obstante, </w:t>
      </w:r>
      <w:r w:rsidR="00D47286" w:rsidRPr="009B2CA6">
        <w:rPr>
          <w:rFonts w:ascii="Verdana" w:hAnsi="Verdana" w:cs="Times New Roman"/>
          <w:sz w:val="20"/>
          <w:szCs w:val="20"/>
        </w:rPr>
        <w:t>el R</w:t>
      </w:r>
      <w:r w:rsidR="001E5DA5" w:rsidRPr="009B2CA6">
        <w:rPr>
          <w:rFonts w:ascii="Verdana" w:hAnsi="Verdana" w:cs="Times New Roman"/>
          <w:sz w:val="20"/>
          <w:szCs w:val="20"/>
        </w:rPr>
        <w:t xml:space="preserve">eglamento, en busca de una mayor protección, establece ciertas excepciones que limitan o restringen la aplicabilidad del mismo, siendo posible su aplicación a arbitrajes de inversiones entablados en virtud de tratados celebrados con anterioridad a la entrada en vigor del Reglamento sobre </w:t>
      </w:r>
      <w:r w:rsidR="00D47286" w:rsidRPr="009B2CA6">
        <w:rPr>
          <w:rFonts w:ascii="Verdana" w:hAnsi="Verdana" w:cs="Times New Roman"/>
          <w:sz w:val="20"/>
          <w:szCs w:val="20"/>
        </w:rPr>
        <w:t xml:space="preserve">la </w:t>
      </w:r>
      <w:r w:rsidR="001E5DA5" w:rsidRPr="009B2CA6">
        <w:rPr>
          <w:rFonts w:ascii="Verdana" w:hAnsi="Verdana" w:cs="Times New Roman"/>
          <w:sz w:val="20"/>
          <w:szCs w:val="20"/>
        </w:rPr>
        <w:t>Transparencia</w:t>
      </w:r>
      <w:r w:rsidR="001E5DA5" w:rsidRPr="009B2CA6">
        <w:rPr>
          <w:rStyle w:val="Refdenotaalpie"/>
          <w:rFonts w:ascii="Verdana" w:hAnsi="Verdana" w:cs="Times New Roman"/>
          <w:sz w:val="20"/>
          <w:szCs w:val="20"/>
        </w:rPr>
        <w:footnoteReference w:id="41"/>
      </w:r>
      <w:r w:rsidR="00F56036" w:rsidRPr="009B2CA6">
        <w:rPr>
          <w:rFonts w:ascii="Verdana" w:hAnsi="Verdana" w:cs="Times New Roman"/>
          <w:sz w:val="20"/>
          <w:szCs w:val="20"/>
        </w:rPr>
        <w:t xml:space="preserve">, </w:t>
      </w:r>
      <w:r w:rsidR="00F56036" w:rsidRPr="009B2CA6">
        <w:rPr>
          <w:rFonts w:ascii="Verdana" w:hAnsi="Verdana" w:cs="Times New Roman"/>
          <w:sz w:val="20"/>
          <w:szCs w:val="20"/>
        </w:rPr>
        <w:lastRenderedPageBreak/>
        <w:t xml:space="preserve">siempre </w:t>
      </w:r>
      <w:r w:rsidR="001E5DA5" w:rsidRPr="009B2CA6">
        <w:rPr>
          <w:rFonts w:ascii="Verdana" w:hAnsi="Verdana" w:cs="Times New Roman"/>
          <w:sz w:val="20"/>
          <w:szCs w:val="20"/>
        </w:rPr>
        <w:t>que las partes litigantes así lo hayan conve</w:t>
      </w:r>
      <w:r w:rsidR="00520A93" w:rsidRPr="009B2CA6">
        <w:rPr>
          <w:rFonts w:ascii="Verdana" w:hAnsi="Verdana" w:cs="Times New Roman"/>
          <w:sz w:val="20"/>
          <w:szCs w:val="20"/>
        </w:rPr>
        <w:t>nido respecto de un arbitraje</w:t>
      </w:r>
      <w:r w:rsidR="001E5DA5" w:rsidRPr="009B2CA6">
        <w:rPr>
          <w:rFonts w:ascii="Verdana" w:hAnsi="Verdana" w:cs="Times New Roman"/>
          <w:sz w:val="20"/>
          <w:szCs w:val="20"/>
        </w:rPr>
        <w:t xml:space="preserve"> específico</w:t>
      </w:r>
      <w:r w:rsidR="001E5DA5" w:rsidRPr="009B2CA6">
        <w:rPr>
          <w:rStyle w:val="Refdenotaalpie"/>
          <w:rFonts w:ascii="Verdana" w:hAnsi="Verdana" w:cs="Times New Roman"/>
          <w:sz w:val="20"/>
          <w:szCs w:val="20"/>
        </w:rPr>
        <w:footnoteReference w:id="42"/>
      </w:r>
      <w:r w:rsidR="00F56036" w:rsidRPr="009B2CA6">
        <w:rPr>
          <w:rFonts w:ascii="Verdana" w:hAnsi="Verdana" w:cs="Times New Roman"/>
          <w:sz w:val="20"/>
          <w:szCs w:val="20"/>
        </w:rPr>
        <w:t xml:space="preserve"> o</w:t>
      </w:r>
      <w:r w:rsidR="001E5DA5" w:rsidRPr="009B2CA6">
        <w:rPr>
          <w:rFonts w:ascii="Verdana" w:hAnsi="Verdana" w:cs="Times New Roman"/>
          <w:sz w:val="20"/>
          <w:szCs w:val="20"/>
        </w:rPr>
        <w:t xml:space="preserve"> que las partes en el tratado lo hayan convenido con posterioridad al 1 de abril de 2014</w:t>
      </w:r>
      <w:r w:rsidR="001E5DA5" w:rsidRPr="009B2CA6">
        <w:rPr>
          <w:rStyle w:val="Refdenotaalpie"/>
          <w:rFonts w:ascii="Verdana" w:hAnsi="Verdana" w:cs="Times New Roman"/>
          <w:sz w:val="20"/>
          <w:szCs w:val="20"/>
        </w:rPr>
        <w:footnoteReference w:id="43"/>
      </w:r>
      <w:r w:rsidR="001E5DA5" w:rsidRPr="009B2CA6">
        <w:rPr>
          <w:rFonts w:ascii="Verdana" w:hAnsi="Verdana" w:cs="Times New Roman"/>
          <w:sz w:val="20"/>
          <w:szCs w:val="20"/>
        </w:rPr>
        <w:t>.</w:t>
      </w:r>
    </w:p>
    <w:p w:rsidR="00F72EE1" w:rsidRPr="009B2CA6" w:rsidRDefault="00B0206B"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Con respecto a la primera opción</w:t>
      </w:r>
      <w:r w:rsidR="004A36F8" w:rsidRPr="009B2CA6">
        <w:rPr>
          <w:rFonts w:ascii="Verdana" w:hAnsi="Verdana" w:cs="Times New Roman"/>
          <w:sz w:val="20"/>
          <w:szCs w:val="20"/>
        </w:rPr>
        <w:t>,</w:t>
      </w:r>
      <w:r w:rsidR="00AB3D21" w:rsidRPr="009B2CA6">
        <w:rPr>
          <w:rFonts w:ascii="Verdana" w:hAnsi="Verdana" w:cs="Times New Roman"/>
          <w:sz w:val="20"/>
          <w:szCs w:val="20"/>
        </w:rPr>
        <w:t xml:space="preserve"> el tratado debe proporcionar</w:t>
      </w:r>
      <w:r w:rsidRPr="009B2CA6">
        <w:rPr>
          <w:rFonts w:ascii="Verdana" w:hAnsi="Verdana" w:cs="Times New Roman"/>
          <w:sz w:val="20"/>
          <w:szCs w:val="20"/>
        </w:rPr>
        <w:t xml:space="preserve"> a las partes en litigio la libertad suficiente para poder adoptar las Reglas sobre </w:t>
      </w:r>
      <w:r w:rsidR="00AB3D21" w:rsidRPr="009B2CA6">
        <w:rPr>
          <w:rFonts w:ascii="Verdana" w:hAnsi="Verdana" w:cs="Times New Roman"/>
          <w:sz w:val="20"/>
          <w:szCs w:val="20"/>
        </w:rPr>
        <w:t xml:space="preserve">la </w:t>
      </w:r>
      <w:r w:rsidR="005117FA" w:rsidRPr="009B2CA6">
        <w:rPr>
          <w:rFonts w:ascii="Verdana" w:hAnsi="Verdana" w:cs="Times New Roman"/>
          <w:sz w:val="20"/>
          <w:szCs w:val="20"/>
        </w:rPr>
        <w:t>t</w:t>
      </w:r>
      <w:r w:rsidR="00AB7479" w:rsidRPr="009B2CA6">
        <w:rPr>
          <w:rFonts w:ascii="Verdana" w:hAnsi="Verdana" w:cs="Times New Roman"/>
          <w:sz w:val="20"/>
          <w:szCs w:val="20"/>
        </w:rPr>
        <w:t>ransparencia, cuestión ésta que</w:t>
      </w:r>
      <w:r w:rsidRPr="009B2CA6">
        <w:rPr>
          <w:rFonts w:ascii="Verdana" w:hAnsi="Verdana" w:cs="Times New Roman"/>
          <w:sz w:val="20"/>
          <w:szCs w:val="20"/>
        </w:rPr>
        <w:t xml:space="preserve"> puede </w:t>
      </w:r>
      <w:r w:rsidR="001D0212" w:rsidRPr="009B2CA6">
        <w:rPr>
          <w:rFonts w:ascii="Verdana" w:hAnsi="Verdana" w:cs="Times New Roman"/>
          <w:sz w:val="20"/>
          <w:szCs w:val="20"/>
        </w:rPr>
        <w:t>suceder</w:t>
      </w:r>
      <w:r w:rsidRPr="009B2CA6">
        <w:rPr>
          <w:rFonts w:ascii="Verdana" w:hAnsi="Verdana" w:cs="Times New Roman"/>
          <w:sz w:val="20"/>
          <w:szCs w:val="20"/>
        </w:rPr>
        <w:t xml:space="preserve"> a través de un reconocimiento explícito</w:t>
      </w:r>
      <w:r w:rsidR="002618BF" w:rsidRPr="009B2CA6">
        <w:rPr>
          <w:rFonts w:ascii="Verdana" w:hAnsi="Verdana" w:cs="Times New Roman"/>
          <w:sz w:val="20"/>
          <w:szCs w:val="20"/>
        </w:rPr>
        <w:t>, en el propio texto</w:t>
      </w:r>
      <w:r w:rsidRPr="009B2CA6">
        <w:rPr>
          <w:rFonts w:ascii="Verdana" w:hAnsi="Verdana" w:cs="Times New Roman"/>
          <w:sz w:val="20"/>
          <w:szCs w:val="20"/>
        </w:rPr>
        <w:t xml:space="preserve"> del tratado,</w:t>
      </w:r>
      <w:r w:rsidR="00AB7479" w:rsidRPr="009B2CA6">
        <w:rPr>
          <w:rFonts w:ascii="Verdana" w:hAnsi="Verdana" w:cs="Times New Roman"/>
          <w:sz w:val="20"/>
          <w:szCs w:val="20"/>
        </w:rPr>
        <w:t xml:space="preserve"> de</w:t>
      </w:r>
      <w:r w:rsidRPr="009B2CA6">
        <w:rPr>
          <w:rFonts w:ascii="Verdana" w:hAnsi="Verdana" w:cs="Times New Roman"/>
          <w:sz w:val="20"/>
          <w:szCs w:val="20"/>
        </w:rPr>
        <w:t xml:space="preserve"> la posibilidad que tienen las partes de poder llevar a</w:t>
      </w:r>
      <w:r w:rsidR="00F56036" w:rsidRPr="009B2CA6">
        <w:rPr>
          <w:rFonts w:ascii="Verdana" w:hAnsi="Verdana" w:cs="Times New Roman"/>
          <w:sz w:val="20"/>
          <w:szCs w:val="20"/>
        </w:rPr>
        <w:t xml:space="preserve"> </w:t>
      </w:r>
      <w:r w:rsidRPr="009B2CA6">
        <w:rPr>
          <w:rFonts w:ascii="Verdana" w:hAnsi="Verdana" w:cs="Times New Roman"/>
          <w:sz w:val="20"/>
          <w:szCs w:val="20"/>
        </w:rPr>
        <w:t xml:space="preserve">cabo cualquiera de las </w:t>
      </w:r>
      <w:r w:rsidR="00CD1974" w:rsidRPr="009B2CA6">
        <w:rPr>
          <w:rFonts w:ascii="Verdana" w:hAnsi="Verdana" w:cs="Times New Roman"/>
          <w:sz w:val="20"/>
          <w:szCs w:val="20"/>
        </w:rPr>
        <w:t>acciones comentadas</w:t>
      </w:r>
      <w:r w:rsidR="00F56036" w:rsidRPr="009B2CA6">
        <w:rPr>
          <w:rFonts w:ascii="Verdana" w:hAnsi="Verdana" w:cs="Times New Roman"/>
          <w:sz w:val="20"/>
          <w:szCs w:val="20"/>
        </w:rPr>
        <w:t xml:space="preserve"> antes</w:t>
      </w:r>
      <w:r w:rsidR="00AB7479" w:rsidRPr="009B2CA6">
        <w:rPr>
          <w:rFonts w:ascii="Verdana" w:hAnsi="Verdana" w:cs="Times New Roman"/>
          <w:sz w:val="20"/>
          <w:szCs w:val="20"/>
        </w:rPr>
        <w:t>.</w:t>
      </w:r>
    </w:p>
    <w:p w:rsidR="00490380" w:rsidRPr="009B2CA6" w:rsidRDefault="007E539D"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w:t>
      </w:r>
      <w:r w:rsidR="000A2E9B" w:rsidRPr="009B2CA6">
        <w:rPr>
          <w:rFonts w:ascii="Verdana" w:hAnsi="Verdana" w:cs="Times New Roman"/>
          <w:sz w:val="20"/>
          <w:szCs w:val="20"/>
        </w:rPr>
        <w:t>n el caso</w:t>
      </w:r>
      <w:r w:rsidR="00490380" w:rsidRPr="009B2CA6">
        <w:rPr>
          <w:rFonts w:ascii="Verdana" w:hAnsi="Verdana" w:cs="Times New Roman"/>
          <w:sz w:val="20"/>
          <w:szCs w:val="20"/>
        </w:rPr>
        <w:t xml:space="preserve"> específico de los AII</w:t>
      </w:r>
      <w:r w:rsidRPr="009B2CA6">
        <w:rPr>
          <w:rFonts w:ascii="Verdana" w:hAnsi="Verdana" w:cs="Times New Roman"/>
          <w:sz w:val="20"/>
          <w:szCs w:val="20"/>
        </w:rPr>
        <w:t>,</w:t>
      </w:r>
      <w:r w:rsidR="00490380" w:rsidRPr="009B2CA6">
        <w:rPr>
          <w:rFonts w:ascii="Verdana" w:hAnsi="Verdana" w:cs="Times New Roman"/>
          <w:sz w:val="20"/>
          <w:szCs w:val="20"/>
        </w:rPr>
        <w:t xml:space="preserve"> </w:t>
      </w:r>
      <w:bookmarkStart w:id="24" w:name="_Hlk490785433"/>
      <w:r w:rsidRPr="009B2CA6">
        <w:rPr>
          <w:rFonts w:ascii="Verdana" w:hAnsi="Verdana" w:cs="Times New Roman"/>
          <w:sz w:val="20"/>
          <w:szCs w:val="20"/>
        </w:rPr>
        <w:t xml:space="preserve">hay que tener en cuenta que las cláusulas de solución de controversias </w:t>
      </w:r>
      <w:r w:rsidR="00C43D91" w:rsidRPr="009B2CA6">
        <w:rPr>
          <w:rFonts w:ascii="Verdana" w:hAnsi="Verdana" w:cs="Times New Roman"/>
          <w:sz w:val="20"/>
          <w:szCs w:val="20"/>
        </w:rPr>
        <w:t>Inversor</w:t>
      </w:r>
      <w:r w:rsidR="00C43D91">
        <w:rPr>
          <w:rFonts w:ascii="Verdana" w:hAnsi="Verdana" w:cs="Times New Roman"/>
          <w:sz w:val="20"/>
          <w:szCs w:val="20"/>
        </w:rPr>
        <w:t>-</w:t>
      </w:r>
      <w:r w:rsidRPr="009B2CA6">
        <w:rPr>
          <w:rFonts w:ascii="Verdana" w:hAnsi="Verdana" w:cs="Times New Roman"/>
          <w:sz w:val="20"/>
          <w:szCs w:val="20"/>
        </w:rPr>
        <w:t xml:space="preserve">Estado plantean un uso gradual de diferentes mecanismos, de modo que el Reglamento </w:t>
      </w:r>
      <w:r w:rsidR="005117FA" w:rsidRPr="009B2CA6">
        <w:rPr>
          <w:rFonts w:ascii="Verdana" w:hAnsi="Verdana" w:cs="Times New Roman"/>
          <w:sz w:val="20"/>
          <w:szCs w:val="20"/>
        </w:rPr>
        <w:t xml:space="preserve">sobre la </w:t>
      </w:r>
      <w:r w:rsidRPr="009B2CA6">
        <w:rPr>
          <w:rFonts w:ascii="Verdana" w:hAnsi="Verdana" w:cs="Times New Roman"/>
          <w:sz w:val="20"/>
          <w:szCs w:val="20"/>
        </w:rPr>
        <w:t>Transparencia s</w:t>
      </w:r>
      <w:r w:rsidR="005117FA" w:rsidRPr="009B2CA6">
        <w:rPr>
          <w:rFonts w:ascii="Verdana" w:hAnsi="Verdana" w:cs="Times New Roman"/>
          <w:sz w:val="20"/>
          <w:szCs w:val="20"/>
        </w:rPr>
        <w:t>o</w:t>
      </w:r>
      <w:r w:rsidRPr="009B2CA6">
        <w:rPr>
          <w:rFonts w:ascii="Verdana" w:hAnsi="Verdana" w:cs="Times New Roman"/>
          <w:sz w:val="20"/>
          <w:szCs w:val="20"/>
        </w:rPr>
        <w:t>lo resultaría aplicable en el supuesto de que las partes, de mutuo acuerdo</w:t>
      </w:r>
      <w:r w:rsidRPr="009B2CA6">
        <w:rPr>
          <w:rStyle w:val="Refdenotaalpie"/>
          <w:rFonts w:ascii="Verdana" w:hAnsi="Verdana" w:cs="Times New Roman"/>
          <w:sz w:val="20"/>
          <w:szCs w:val="20"/>
        </w:rPr>
        <w:footnoteReference w:id="44"/>
      </w:r>
      <w:r w:rsidRPr="009B2CA6">
        <w:rPr>
          <w:rFonts w:ascii="Verdana" w:hAnsi="Verdana" w:cs="Times New Roman"/>
          <w:sz w:val="20"/>
          <w:szCs w:val="20"/>
        </w:rPr>
        <w:t xml:space="preserve">, acudiesen al arbitraje, dejando de lado el resto de las opciones </w:t>
      </w:r>
      <w:r w:rsidR="005117FA" w:rsidRPr="009B2CA6">
        <w:rPr>
          <w:rFonts w:ascii="Verdana" w:hAnsi="Verdana" w:cs="Times New Roman"/>
          <w:sz w:val="20"/>
          <w:szCs w:val="20"/>
        </w:rPr>
        <w:t>que suelen ofrecer los tratados;</w:t>
      </w:r>
      <w:r w:rsidRPr="009B2CA6">
        <w:rPr>
          <w:rFonts w:ascii="Verdana" w:hAnsi="Verdana" w:cs="Times New Roman"/>
          <w:sz w:val="20"/>
          <w:szCs w:val="20"/>
        </w:rPr>
        <w:t xml:space="preserve"> a saber, </w:t>
      </w:r>
      <w:bookmarkEnd w:id="24"/>
      <w:r w:rsidR="00BE3816" w:rsidRPr="009B2CA6">
        <w:rPr>
          <w:rFonts w:ascii="Verdana" w:hAnsi="Verdana" w:cs="Times New Roman"/>
          <w:sz w:val="20"/>
          <w:szCs w:val="20"/>
        </w:rPr>
        <w:t xml:space="preserve">la </w:t>
      </w:r>
      <w:r w:rsidR="000A46A1" w:rsidRPr="009B2CA6">
        <w:rPr>
          <w:rFonts w:ascii="Verdana" w:hAnsi="Verdana" w:cs="Times New Roman"/>
          <w:sz w:val="20"/>
          <w:szCs w:val="20"/>
        </w:rPr>
        <w:t xml:space="preserve">negociación y </w:t>
      </w:r>
      <w:r w:rsidR="00BE3816" w:rsidRPr="009B2CA6">
        <w:rPr>
          <w:rFonts w:ascii="Verdana" w:hAnsi="Verdana" w:cs="Times New Roman"/>
          <w:sz w:val="20"/>
          <w:szCs w:val="20"/>
        </w:rPr>
        <w:t xml:space="preserve">el recurso </w:t>
      </w:r>
      <w:r w:rsidR="00490380" w:rsidRPr="009B2CA6">
        <w:rPr>
          <w:rFonts w:ascii="Verdana" w:hAnsi="Verdana" w:cs="Times New Roman"/>
          <w:sz w:val="20"/>
          <w:szCs w:val="20"/>
        </w:rPr>
        <w:t>a los tribunales competentes del Es</w:t>
      </w:r>
      <w:r w:rsidR="00FC067E" w:rsidRPr="009B2CA6">
        <w:rPr>
          <w:rFonts w:ascii="Verdana" w:hAnsi="Verdana" w:cs="Times New Roman"/>
          <w:sz w:val="20"/>
          <w:szCs w:val="20"/>
        </w:rPr>
        <w:t>tado receptor de la inversión</w:t>
      </w:r>
      <w:r w:rsidR="000A46A1" w:rsidRPr="009B2CA6">
        <w:rPr>
          <w:rFonts w:ascii="Verdana" w:hAnsi="Verdana" w:cs="Times New Roman"/>
          <w:sz w:val="20"/>
          <w:szCs w:val="20"/>
        </w:rPr>
        <w:t xml:space="preserve">. </w:t>
      </w:r>
      <w:r w:rsidR="00520A93" w:rsidRPr="009B2CA6">
        <w:rPr>
          <w:rFonts w:ascii="Verdana" w:hAnsi="Verdana" w:cs="Times New Roman"/>
          <w:sz w:val="20"/>
          <w:szCs w:val="20"/>
        </w:rPr>
        <w:t>U</w:t>
      </w:r>
      <w:r w:rsidR="009954E2" w:rsidRPr="009B2CA6">
        <w:rPr>
          <w:rFonts w:ascii="Verdana" w:hAnsi="Verdana" w:cs="Times New Roman"/>
          <w:sz w:val="20"/>
          <w:szCs w:val="20"/>
        </w:rPr>
        <w:t>na</w:t>
      </w:r>
      <w:r w:rsidR="000A46A1" w:rsidRPr="009B2CA6">
        <w:rPr>
          <w:rFonts w:ascii="Verdana" w:hAnsi="Verdana" w:cs="Times New Roman"/>
          <w:sz w:val="20"/>
          <w:szCs w:val="20"/>
        </w:rPr>
        <w:t xml:space="preserve"> vez descartadas dichas opciones se acudirá al </w:t>
      </w:r>
      <w:r w:rsidR="00490380" w:rsidRPr="009B2CA6">
        <w:rPr>
          <w:rFonts w:ascii="Verdana" w:hAnsi="Verdana" w:cs="Times New Roman"/>
          <w:sz w:val="20"/>
          <w:szCs w:val="20"/>
        </w:rPr>
        <w:t>arbitraje internacional bajo la modalidad acordada por las partes</w:t>
      </w:r>
      <w:r w:rsidRPr="009B2CA6">
        <w:rPr>
          <w:rFonts w:ascii="Verdana" w:hAnsi="Verdana" w:cs="Times New Roman"/>
          <w:sz w:val="20"/>
          <w:szCs w:val="20"/>
        </w:rPr>
        <w:t>, teniendo en cuenta lo</w:t>
      </w:r>
      <w:r w:rsidR="00490380" w:rsidRPr="009B2CA6">
        <w:rPr>
          <w:rFonts w:ascii="Verdana" w:hAnsi="Verdana" w:cs="Times New Roman"/>
          <w:sz w:val="20"/>
          <w:szCs w:val="20"/>
        </w:rPr>
        <w:t xml:space="preserve">s </w:t>
      </w:r>
      <w:r w:rsidRPr="009B2CA6">
        <w:rPr>
          <w:rFonts w:ascii="Verdana" w:hAnsi="Verdana" w:cs="Times New Roman"/>
          <w:sz w:val="20"/>
          <w:szCs w:val="20"/>
        </w:rPr>
        <w:t>distintos reglamentos</w:t>
      </w:r>
      <w:r w:rsidR="00490380" w:rsidRPr="009B2CA6">
        <w:rPr>
          <w:rFonts w:ascii="Verdana" w:hAnsi="Verdana" w:cs="Times New Roman"/>
          <w:sz w:val="20"/>
          <w:szCs w:val="20"/>
        </w:rPr>
        <w:t xml:space="preserve"> arbitrales que el propio acuerdo les ofrece</w:t>
      </w:r>
      <w:r w:rsidR="00490380" w:rsidRPr="009B2CA6">
        <w:rPr>
          <w:rStyle w:val="Refdenotaalpie"/>
          <w:rFonts w:ascii="Verdana" w:hAnsi="Verdana" w:cs="Times New Roman"/>
          <w:sz w:val="20"/>
          <w:szCs w:val="20"/>
        </w:rPr>
        <w:footnoteReference w:id="45"/>
      </w:r>
      <w:r w:rsidR="000A46A1" w:rsidRPr="009B2CA6">
        <w:rPr>
          <w:rFonts w:ascii="Verdana" w:hAnsi="Verdana" w:cs="Times New Roman"/>
          <w:sz w:val="20"/>
          <w:szCs w:val="20"/>
        </w:rPr>
        <w:t>. É</w:t>
      </w:r>
      <w:r w:rsidR="00F40BA5" w:rsidRPr="009B2CA6">
        <w:rPr>
          <w:rFonts w:ascii="Verdana" w:hAnsi="Verdana" w:cs="Times New Roman"/>
          <w:sz w:val="20"/>
          <w:szCs w:val="20"/>
        </w:rPr>
        <w:t>ste último</w:t>
      </w:r>
      <w:r w:rsidR="000A46A1" w:rsidRPr="009B2CA6">
        <w:rPr>
          <w:rFonts w:ascii="Verdana" w:hAnsi="Verdana" w:cs="Times New Roman"/>
          <w:sz w:val="20"/>
          <w:szCs w:val="20"/>
        </w:rPr>
        <w:t xml:space="preserve"> es, precisamente,</w:t>
      </w:r>
      <w:r w:rsidR="00490380" w:rsidRPr="009B2CA6">
        <w:rPr>
          <w:rFonts w:ascii="Verdana" w:hAnsi="Verdana" w:cs="Times New Roman"/>
          <w:sz w:val="20"/>
          <w:szCs w:val="20"/>
        </w:rPr>
        <w:t xml:space="preserve"> el mecanismo más utilizado en los AII para la soluc</w:t>
      </w:r>
      <w:r w:rsidR="001B78B4" w:rsidRPr="009B2CA6">
        <w:rPr>
          <w:rFonts w:ascii="Verdana" w:hAnsi="Verdana" w:cs="Times New Roman"/>
          <w:sz w:val="20"/>
          <w:szCs w:val="20"/>
        </w:rPr>
        <w:t>ión de controversias entre las P</w:t>
      </w:r>
      <w:r w:rsidR="00490380" w:rsidRPr="009B2CA6">
        <w:rPr>
          <w:rFonts w:ascii="Verdana" w:hAnsi="Verdana" w:cs="Times New Roman"/>
          <w:sz w:val="20"/>
          <w:szCs w:val="20"/>
        </w:rPr>
        <w:t xml:space="preserve">artes </w:t>
      </w:r>
      <w:r w:rsidR="00797FAF" w:rsidRPr="009B2CA6">
        <w:rPr>
          <w:rFonts w:ascii="Verdana" w:hAnsi="Verdana" w:cs="Times New Roman"/>
          <w:sz w:val="20"/>
          <w:szCs w:val="20"/>
        </w:rPr>
        <w:t>c</w:t>
      </w:r>
      <w:r w:rsidR="00490380" w:rsidRPr="009B2CA6">
        <w:rPr>
          <w:rFonts w:ascii="Verdana" w:hAnsi="Verdana" w:cs="Times New Roman"/>
          <w:sz w:val="20"/>
          <w:szCs w:val="20"/>
        </w:rPr>
        <w:t xml:space="preserve">ontendientes. </w:t>
      </w:r>
    </w:p>
    <w:p w:rsidR="00251FD3" w:rsidRDefault="008322C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lastRenderedPageBreak/>
        <w:t xml:space="preserve">Con respecto </w:t>
      </w:r>
      <w:r w:rsidR="00FB2DD7" w:rsidRPr="009B2CA6">
        <w:rPr>
          <w:rFonts w:ascii="Verdana" w:hAnsi="Verdana" w:cs="Times New Roman"/>
          <w:sz w:val="20"/>
          <w:szCs w:val="20"/>
        </w:rPr>
        <w:t>a la segunda de las opcio</w:t>
      </w:r>
      <w:r w:rsidR="00D74102" w:rsidRPr="009B2CA6">
        <w:rPr>
          <w:rFonts w:ascii="Verdana" w:hAnsi="Verdana" w:cs="Times New Roman"/>
          <w:sz w:val="20"/>
          <w:szCs w:val="20"/>
        </w:rPr>
        <w:t>nes planteadas anteriormente</w:t>
      </w:r>
      <w:r w:rsidR="00257282" w:rsidRPr="009B2CA6">
        <w:rPr>
          <w:rFonts w:ascii="Verdana" w:hAnsi="Verdana" w:cs="Times New Roman"/>
          <w:sz w:val="20"/>
          <w:szCs w:val="20"/>
        </w:rPr>
        <w:t xml:space="preserve">, y que tiene estrecha relación con el </w:t>
      </w:r>
      <w:r w:rsidR="00FB2DD7" w:rsidRPr="009B2CA6">
        <w:rPr>
          <w:rFonts w:ascii="Verdana" w:hAnsi="Verdana" w:cs="Times New Roman"/>
          <w:sz w:val="20"/>
          <w:szCs w:val="20"/>
        </w:rPr>
        <w:t xml:space="preserve">apartado b) </w:t>
      </w:r>
      <w:r w:rsidR="003A17E4" w:rsidRPr="009B2CA6">
        <w:rPr>
          <w:rFonts w:ascii="Verdana" w:hAnsi="Verdana" w:cs="Times New Roman"/>
          <w:sz w:val="20"/>
          <w:szCs w:val="20"/>
        </w:rPr>
        <w:t>del artículo</w:t>
      </w:r>
      <w:r w:rsidRPr="009B2CA6">
        <w:rPr>
          <w:rFonts w:ascii="Verdana" w:hAnsi="Verdana" w:cs="Times New Roman"/>
          <w:sz w:val="20"/>
          <w:szCs w:val="20"/>
        </w:rPr>
        <w:t xml:space="preserve"> 1.2 del </w:t>
      </w:r>
      <w:r w:rsidR="00FB2DD7" w:rsidRPr="009B2CA6">
        <w:rPr>
          <w:rFonts w:ascii="Verdana" w:hAnsi="Verdana" w:cs="Times New Roman"/>
          <w:sz w:val="20"/>
          <w:szCs w:val="20"/>
        </w:rPr>
        <w:t xml:space="preserve">Reglamento sobre </w:t>
      </w:r>
      <w:r w:rsidR="00432873" w:rsidRPr="009B2CA6">
        <w:rPr>
          <w:rFonts w:ascii="Verdana" w:hAnsi="Verdana" w:cs="Times New Roman"/>
          <w:sz w:val="20"/>
          <w:szCs w:val="20"/>
        </w:rPr>
        <w:t xml:space="preserve">la </w:t>
      </w:r>
      <w:r w:rsidR="00FB2DD7" w:rsidRPr="009B2CA6">
        <w:rPr>
          <w:rFonts w:ascii="Verdana" w:hAnsi="Verdana" w:cs="Times New Roman"/>
          <w:sz w:val="20"/>
          <w:szCs w:val="20"/>
        </w:rPr>
        <w:t>Transparencia</w:t>
      </w:r>
      <w:r w:rsidR="003108D6" w:rsidRPr="009B2CA6">
        <w:rPr>
          <w:rFonts w:ascii="Verdana" w:hAnsi="Verdana" w:cs="Times New Roman"/>
          <w:sz w:val="20"/>
          <w:szCs w:val="20"/>
        </w:rPr>
        <w:t>,</w:t>
      </w:r>
      <w:r w:rsidR="00FB2DD7" w:rsidRPr="009B2CA6">
        <w:rPr>
          <w:rFonts w:ascii="Verdana" w:hAnsi="Verdana" w:cs="Times New Roman"/>
          <w:sz w:val="20"/>
          <w:szCs w:val="20"/>
        </w:rPr>
        <w:t xml:space="preserve"> </w:t>
      </w:r>
      <w:r w:rsidR="003108D6" w:rsidRPr="009B2CA6">
        <w:rPr>
          <w:rFonts w:ascii="Verdana" w:hAnsi="Verdana" w:cs="Times New Roman"/>
          <w:sz w:val="20"/>
          <w:szCs w:val="20"/>
        </w:rPr>
        <w:t>l</w:t>
      </w:r>
      <w:r w:rsidR="001B5E86" w:rsidRPr="009B2CA6">
        <w:rPr>
          <w:rFonts w:ascii="Verdana" w:hAnsi="Verdana" w:cs="Times New Roman"/>
          <w:sz w:val="20"/>
          <w:szCs w:val="20"/>
        </w:rPr>
        <w:t>os Estados P</w:t>
      </w:r>
      <w:r w:rsidR="00FB2DD7" w:rsidRPr="009B2CA6">
        <w:rPr>
          <w:rFonts w:ascii="Verdana" w:hAnsi="Verdana" w:cs="Times New Roman"/>
          <w:sz w:val="20"/>
          <w:szCs w:val="20"/>
        </w:rPr>
        <w:t>artes tendrán que manifestar su consentimiento, posterior a la fecha de entrada en vigor del Reglamento,</w:t>
      </w:r>
      <w:r w:rsidR="003108D6" w:rsidRPr="009B2CA6">
        <w:rPr>
          <w:rFonts w:ascii="Verdana" w:hAnsi="Verdana" w:cs="Times New Roman"/>
          <w:sz w:val="20"/>
          <w:szCs w:val="20"/>
        </w:rPr>
        <w:t xml:space="preserve"> para </w:t>
      </w:r>
      <w:r w:rsidR="00883759" w:rsidRPr="009B2CA6">
        <w:rPr>
          <w:rFonts w:ascii="Verdana" w:hAnsi="Verdana" w:cs="Times New Roman"/>
          <w:sz w:val="20"/>
          <w:szCs w:val="20"/>
        </w:rPr>
        <w:t xml:space="preserve">poder </w:t>
      </w:r>
      <w:r w:rsidR="007D1EC0" w:rsidRPr="009B2CA6">
        <w:rPr>
          <w:rFonts w:ascii="Verdana" w:hAnsi="Verdana" w:cs="Times New Roman"/>
          <w:sz w:val="20"/>
          <w:szCs w:val="20"/>
        </w:rPr>
        <w:t>adoptar</w:t>
      </w:r>
      <w:r w:rsidR="00FB2DD7" w:rsidRPr="009B2CA6">
        <w:rPr>
          <w:rFonts w:ascii="Verdana" w:hAnsi="Verdana" w:cs="Times New Roman"/>
          <w:sz w:val="20"/>
          <w:szCs w:val="20"/>
        </w:rPr>
        <w:t xml:space="preserve"> </w:t>
      </w:r>
      <w:r w:rsidR="003108D6" w:rsidRPr="009B2CA6">
        <w:rPr>
          <w:rFonts w:ascii="Verdana" w:hAnsi="Verdana" w:cs="Times New Roman"/>
          <w:sz w:val="20"/>
          <w:szCs w:val="20"/>
        </w:rPr>
        <w:t xml:space="preserve">el Reglamento sobre </w:t>
      </w:r>
      <w:r w:rsidR="00432873" w:rsidRPr="009B2CA6">
        <w:rPr>
          <w:rFonts w:ascii="Verdana" w:hAnsi="Verdana" w:cs="Times New Roman"/>
          <w:sz w:val="20"/>
          <w:szCs w:val="20"/>
        </w:rPr>
        <w:t xml:space="preserve">la </w:t>
      </w:r>
      <w:r w:rsidR="003108D6" w:rsidRPr="009B2CA6">
        <w:rPr>
          <w:rFonts w:ascii="Verdana" w:hAnsi="Verdana" w:cs="Times New Roman"/>
          <w:sz w:val="20"/>
          <w:szCs w:val="20"/>
        </w:rPr>
        <w:t xml:space="preserve">Transparencia </w:t>
      </w:r>
      <w:r w:rsidR="00FB2DD7" w:rsidRPr="009B2CA6">
        <w:rPr>
          <w:rFonts w:ascii="Verdana" w:hAnsi="Verdana" w:cs="Times New Roman"/>
          <w:sz w:val="20"/>
          <w:szCs w:val="20"/>
        </w:rPr>
        <w:t xml:space="preserve">a los arbitrajes celebrados con anterioridad a dicha fecha. Al respecto, el propio artículo 1.2 b), no específica el tipo de acuerdo </w:t>
      </w:r>
      <w:r w:rsidR="003108D6" w:rsidRPr="009B2CA6">
        <w:rPr>
          <w:rFonts w:ascii="Verdana" w:hAnsi="Verdana" w:cs="Times New Roman"/>
          <w:sz w:val="20"/>
          <w:szCs w:val="20"/>
        </w:rPr>
        <w:t xml:space="preserve">a través del cual los propios Estados </w:t>
      </w:r>
      <w:r w:rsidR="007D1EC0" w:rsidRPr="009B2CA6">
        <w:rPr>
          <w:rFonts w:ascii="Verdana" w:hAnsi="Verdana" w:cs="Times New Roman"/>
          <w:sz w:val="20"/>
          <w:szCs w:val="20"/>
        </w:rPr>
        <w:t>pueden manifestar</w:t>
      </w:r>
      <w:r w:rsidR="003C518D" w:rsidRPr="009B2CA6">
        <w:rPr>
          <w:rFonts w:ascii="Verdana" w:hAnsi="Verdana" w:cs="Times New Roman"/>
          <w:sz w:val="20"/>
          <w:szCs w:val="20"/>
        </w:rPr>
        <w:t xml:space="preserve"> su consentimiento,</w:t>
      </w:r>
      <w:r w:rsidR="00FB2DD7" w:rsidRPr="009B2CA6">
        <w:rPr>
          <w:rFonts w:ascii="Verdana" w:hAnsi="Verdana" w:cs="Times New Roman"/>
          <w:sz w:val="20"/>
          <w:szCs w:val="20"/>
        </w:rPr>
        <w:t xml:space="preserve"> </w:t>
      </w:r>
      <w:r w:rsidR="003C518D" w:rsidRPr="009B2CA6">
        <w:rPr>
          <w:rFonts w:ascii="Verdana" w:hAnsi="Verdana" w:cs="Times New Roman"/>
          <w:sz w:val="20"/>
          <w:szCs w:val="20"/>
        </w:rPr>
        <w:t>l</w:t>
      </w:r>
      <w:r w:rsidR="008C4C32" w:rsidRPr="009B2CA6">
        <w:rPr>
          <w:rFonts w:ascii="Verdana" w:hAnsi="Verdana" w:cs="Times New Roman"/>
          <w:sz w:val="20"/>
          <w:szCs w:val="20"/>
        </w:rPr>
        <w:t>o que permite cierta flexibilidad</w:t>
      </w:r>
      <w:r w:rsidR="00877E17" w:rsidRPr="009B2CA6">
        <w:rPr>
          <w:rFonts w:ascii="Verdana" w:hAnsi="Verdana" w:cs="Times New Roman"/>
          <w:sz w:val="20"/>
          <w:szCs w:val="20"/>
        </w:rPr>
        <w:t xml:space="preserve">, </w:t>
      </w:r>
      <w:r w:rsidR="002F17B7" w:rsidRPr="009B2CA6">
        <w:rPr>
          <w:rFonts w:ascii="Verdana" w:hAnsi="Verdana" w:cs="Times New Roman"/>
          <w:sz w:val="20"/>
          <w:szCs w:val="20"/>
        </w:rPr>
        <w:t>permitiendo</w:t>
      </w:r>
      <w:r w:rsidR="00002000" w:rsidRPr="009B2CA6">
        <w:rPr>
          <w:rFonts w:ascii="Verdana" w:hAnsi="Verdana" w:cs="Times New Roman"/>
          <w:sz w:val="20"/>
          <w:szCs w:val="20"/>
        </w:rPr>
        <w:t xml:space="preserve"> a</w:t>
      </w:r>
      <w:r w:rsidR="00877E17" w:rsidRPr="009B2CA6">
        <w:rPr>
          <w:rFonts w:ascii="Verdana" w:hAnsi="Verdana" w:cs="Times New Roman"/>
          <w:sz w:val="20"/>
          <w:szCs w:val="20"/>
        </w:rPr>
        <w:t xml:space="preserve"> los</w:t>
      </w:r>
      <w:r w:rsidR="00FB2DD7" w:rsidRPr="009B2CA6">
        <w:rPr>
          <w:rFonts w:ascii="Verdana" w:hAnsi="Verdana" w:cs="Times New Roman"/>
          <w:sz w:val="20"/>
          <w:szCs w:val="20"/>
        </w:rPr>
        <w:t xml:space="preserve"> Estados acordar dicho consentimiento a través de tratados, declaraciones conjuntas, manifestaciones unilaterales de consentimiento u otros métodos para establecer un acuerdo</w:t>
      </w:r>
      <w:r w:rsidR="00AA7238" w:rsidRPr="009B2CA6">
        <w:rPr>
          <w:rStyle w:val="Refdenotaalpie"/>
          <w:rFonts w:ascii="Verdana" w:hAnsi="Verdana" w:cs="Times New Roman"/>
          <w:sz w:val="20"/>
          <w:szCs w:val="20"/>
        </w:rPr>
        <w:footnoteReference w:id="46"/>
      </w:r>
      <w:r w:rsidR="00FB2DD7" w:rsidRPr="009B2CA6">
        <w:rPr>
          <w:rFonts w:ascii="Verdana" w:hAnsi="Verdana" w:cs="Times New Roman"/>
          <w:sz w:val="20"/>
          <w:szCs w:val="20"/>
        </w:rPr>
        <w:t>.</w:t>
      </w:r>
      <w:r w:rsidR="003C518D" w:rsidRPr="009B2CA6">
        <w:rPr>
          <w:rFonts w:ascii="Verdana" w:hAnsi="Verdana" w:cs="Times New Roman"/>
          <w:sz w:val="20"/>
          <w:szCs w:val="20"/>
        </w:rPr>
        <w:t xml:space="preserve"> </w:t>
      </w:r>
    </w:p>
    <w:p w:rsidR="00AA3DB0" w:rsidRPr="009B2CA6" w:rsidRDefault="00AA3DB0" w:rsidP="006D3AD5">
      <w:pPr>
        <w:pStyle w:val="Contenidodelatabla"/>
        <w:spacing w:line="240" w:lineRule="auto"/>
        <w:rPr>
          <w:rFonts w:ascii="Verdana" w:hAnsi="Verdana" w:cs="Times New Roman"/>
          <w:sz w:val="20"/>
          <w:szCs w:val="20"/>
        </w:rPr>
      </w:pPr>
    </w:p>
    <w:p w:rsidR="00CE169C" w:rsidRPr="009B2CA6" w:rsidRDefault="00E0258A" w:rsidP="006D3AD5">
      <w:pPr>
        <w:pStyle w:val="Contenidodelatabla"/>
        <w:spacing w:line="240" w:lineRule="auto"/>
        <w:ind w:firstLine="0"/>
        <w:outlineLvl w:val="2"/>
        <w:rPr>
          <w:rFonts w:ascii="Verdana" w:hAnsi="Verdana" w:cs="Times New Roman"/>
          <w:b/>
          <w:sz w:val="20"/>
          <w:szCs w:val="20"/>
        </w:rPr>
      </w:pPr>
      <w:bookmarkStart w:id="25" w:name="_Toc536741918"/>
      <w:bookmarkStart w:id="26" w:name="_Toc1224440"/>
      <w:r w:rsidRPr="009B2CA6">
        <w:rPr>
          <w:rFonts w:ascii="Verdana" w:hAnsi="Verdana" w:cs="Times New Roman"/>
          <w:b/>
          <w:sz w:val="20"/>
          <w:szCs w:val="20"/>
        </w:rPr>
        <w:t xml:space="preserve">4.1.2 </w:t>
      </w:r>
      <w:r w:rsidR="00CE169C" w:rsidRPr="009B2CA6">
        <w:rPr>
          <w:rFonts w:ascii="Verdana" w:hAnsi="Verdana" w:cs="Times New Roman"/>
          <w:b/>
          <w:sz w:val="20"/>
          <w:szCs w:val="20"/>
        </w:rPr>
        <w:t>Aplicación del Reglamento.</w:t>
      </w:r>
      <w:bookmarkEnd w:id="25"/>
      <w:bookmarkEnd w:id="26"/>
    </w:p>
    <w:p w:rsidR="005D44F0" w:rsidRPr="009B2CA6" w:rsidRDefault="00250666"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La </w:t>
      </w:r>
      <w:r w:rsidR="00356250" w:rsidRPr="009B2CA6">
        <w:rPr>
          <w:rFonts w:ascii="Verdana" w:hAnsi="Verdana" w:cs="Times New Roman"/>
          <w:sz w:val="20"/>
          <w:szCs w:val="20"/>
        </w:rPr>
        <w:t xml:space="preserve">aplicación del Reglamento es posible previa existencia de un </w:t>
      </w:r>
      <w:r w:rsidRPr="009B2CA6">
        <w:rPr>
          <w:rFonts w:ascii="Verdana" w:hAnsi="Verdana" w:cs="Times New Roman"/>
          <w:sz w:val="20"/>
          <w:szCs w:val="20"/>
        </w:rPr>
        <w:t>tratado de inversión</w:t>
      </w:r>
      <w:r w:rsidR="00FC5991" w:rsidRPr="009B2CA6">
        <w:rPr>
          <w:rStyle w:val="Refdenotaalpie"/>
          <w:rFonts w:ascii="Verdana" w:hAnsi="Verdana" w:cs="Times New Roman"/>
          <w:sz w:val="20"/>
          <w:szCs w:val="20"/>
        </w:rPr>
        <w:footnoteReference w:id="47"/>
      </w:r>
      <w:r w:rsidR="00B679A7" w:rsidRPr="009B2CA6">
        <w:rPr>
          <w:rFonts w:ascii="Verdana" w:hAnsi="Verdana" w:cs="Times New Roman"/>
          <w:sz w:val="20"/>
          <w:szCs w:val="20"/>
        </w:rPr>
        <w:t>.</w:t>
      </w:r>
      <w:r w:rsidR="00EF4DC6" w:rsidRPr="009B2CA6">
        <w:rPr>
          <w:rFonts w:ascii="Verdana" w:hAnsi="Verdana" w:cs="Times New Roman"/>
          <w:sz w:val="20"/>
          <w:szCs w:val="20"/>
        </w:rPr>
        <w:t xml:space="preserve"> </w:t>
      </w:r>
      <w:r w:rsidR="00C13B69" w:rsidRPr="009B2CA6">
        <w:rPr>
          <w:rFonts w:ascii="Verdana" w:hAnsi="Verdana" w:cs="Times New Roman"/>
          <w:sz w:val="20"/>
          <w:szCs w:val="20"/>
        </w:rPr>
        <w:t>U</w:t>
      </w:r>
      <w:r w:rsidR="00147742" w:rsidRPr="009B2CA6">
        <w:rPr>
          <w:rFonts w:ascii="Verdana" w:hAnsi="Verdana" w:cs="Times New Roman"/>
          <w:sz w:val="20"/>
          <w:szCs w:val="20"/>
        </w:rPr>
        <w:t xml:space="preserve">na vez las partes </w:t>
      </w:r>
      <w:r w:rsidRPr="009B2CA6">
        <w:rPr>
          <w:rFonts w:ascii="Verdana" w:hAnsi="Verdana" w:cs="Times New Roman"/>
          <w:sz w:val="20"/>
          <w:szCs w:val="20"/>
        </w:rPr>
        <w:t>litigantes</w:t>
      </w:r>
      <w:r w:rsidR="008F7804" w:rsidRPr="009B2CA6">
        <w:rPr>
          <w:rFonts w:ascii="Verdana" w:hAnsi="Verdana" w:cs="Times New Roman"/>
          <w:sz w:val="20"/>
          <w:szCs w:val="20"/>
        </w:rPr>
        <w:t xml:space="preserve"> en el arbitraje de inversiones</w:t>
      </w:r>
      <w:r w:rsidRPr="009B2CA6">
        <w:rPr>
          <w:rFonts w:ascii="Verdana" w:hAnsi="Verdana" w:cs="Times New Roman"/>
          <w:sz w:val="20"/>
          <w:szCs w:val="20"/>
        </w:rPr>
        <w:t xml:space="preserve"> </w:t>
      </w:r>
      <w:r w:rsidR="007E3B91" w:rsidRPr="009B2CA6">
        <w:rPr>
          <w:rFonts w:ascii="Verdana" w:hAnsi="Verdana" w:cs="Times New Roman"/>
          <w:sz w:val="20"/>
          <w:szCs w:val="20"/>
        </w:rPr>
        <w:t>ha</w:t>
      </w:r>
      <w:r w:rsidR="00147742" w:rsidRPr="009B2CA6">
        <w:rPr>
          <w:rFonts w:ascii="Verdana" w:hAnsi="Verdana" w:cs="Times New Roman"/>
          <w:sz w:val="20"/>
          <w:szCs w:val="20"/>
        </w:rPr>
        <w:t xml:space="preserve">n acordado aplicar el Reglamento sobre </w:t>
      </w:r>
      <w:r w:rsidR="006D5545" w:rsidRPr="009B2CA6">
        <w:rPr>
          <w:rFonts w:ascii="Verdana" w:hAnsi="Verdana" w:cs="Times New Roman"/>
          <w:sz w:val="20"/>
          <w:szCs w:val="20"/>
        </w:rPr>
        <w:t xml:space="preserve">la </w:t>
      </w:r>
      <w:r w:rsidR="00147742" w:rsidRPr="009B2CA6">
        <w:rPr>
          <w:rFonts w:ascii="Verdana" w:hAnsi="Verdana" w:cs="Times New Roman"/>
          <w:sz w:val="20"/>
          <w:szCs w:val="20"/>
        </w:rPr>
        <w:t>Transparencia</w:t>
      </w:r>
      <w:r w:rsidR="00E86E93" w:rsidRPr="009B2CA6">
        <w:rPr>
          <w:rFonts w:ascii="Verdana" w:hAnsi="Verdana" w:cs="Times New Roman"/>
          <w:sz w:val="20"/>
          <w:szCs w:val="20"/>
        </w:rPr>
        <w:t>, no podrán apartarse del mismo</w:t>
      </w:r>
      <w:r w:rsidR="00147742" w:rsidRPr="009B2CA6">
        <w:rPr>
          <w:rFonts w:ascii="Verdana" w:hAnsi="Verdana" w:cs="Times New Roman"/>
          <w:sz w:val="20"/>
          <w:szCs w:val="20"/>
        </w:rPr>
        <w:t xml:space="preserve"> </w:t>
      </w:r>
      <w:r w:rsidR="00DF3916" w:rsidRPr="009B2CA6">
        <w:rPr>
          <w:rFonts w:ascii="Verdana" w:hAnsi="Verdana" w:cs="Times New Roman"/>
          <w:sz w:val="20"/>
          <w:szCs w:val="20"/>
        </w:rPr>
        <w:t>a menos que el propio tratado se lo permita</w:t>
      </w:r>
      <w:r w:rsidR="00DF3916" w:rsidRPr="009B2CA6">
        <w:rPr>
          <w:rStyle w:val="Refdenotaalpie"/>
          <w:rFonts w:ascii="Verdana" w:hAnsi="Verdana" w:cs="Times New Roman"/>
          <w:sz w:val="20"/>
          <w:szCs w:val="20"/>
        </w:rPr>
        <w:footnoteReference w:id="48"/>
      </w:r>
      <w:r w:rsidR="006D5545" w:rsidRPr="009B2CA6">
        <w:rPr>
          <w:rFonts w:ascii="Verdana" w:hAnsi="Verdana" w:cs="Times New Roman"/>
          <w:sz w:val="20"/>
          <w:szCs w:val="20"/>
        </w:rPr>
        <w:t xml:space="preserve">, </w:t>
      </w:r>
      <w:r w:rsidR="00E86E93" w:rsidRPr="009B2CA6">
        <w:rPr>
          <w:rFonts w:ascii="Verdana" w:hAnsi="Verdana" w:cs="Times New Roman"/>
          <w:sz w:val="20"/>
          <w:szCs w:val="20"/>
        </w:rPr>
        <w:t xml:space="preserve">lo que reafirma el </w:t>
      </w:r>
      <w:r w:rsidR="007E3B91" w:rsidRPr="009B2CA6">
        <w:rPr>
          <w:rFonts w:ascii="Verdana" w:hAnsi="Verdana" w:cs="Times New Roman"/>
          <w:sz w:val="20"/>
          <w:szCs w:val="20"/>
        </w:rPr>
        <w:t>carácter irrenunciable del Reglamento</w:t>
      </w:r>
      <w:r w:rsidR="00E86E93" w:rsidRPr="009B2CA6">
        <w:rPr>
          <w:rFonts w:ascii="Verdana" w:hAnsi="Verdana" w:cs="Times New Roman"/>
          <w:sz w:val="20"/>
          <w:szCs w:val="20"/>
        </w:rPr>
        <w:t xml:space="preserve">. </w:t>
      </w:r>
      <w:r w:rsidR="007E3B91" w:rsidRPr="009B2CA6">
        <w:rPr>
          <w:rFonts w:ascii="Verdana" w:hAnsi="Verdana" w:cs="Times New Roman"/>
          <w:sz w:val="20"/>
          <w:szCs w:val="20"/>
        </w:rPr>
        <w:t>En este sentido, se</w:t>
      </w:r>
      <w:r w:rsidR="00E34FDF" w:rsidRPr="009B2CA6">
        <w:rPr>
          <w:rFonts w:ascii="Verdana" w:hAnsi="Verdana" w:cs="Times New Roman"/>
          <w:sz w:val="20"/>
          <w:szCs w:val="20"/>
        </w:rPr>
        <w:t xml:space="preserve"> limita la capacidad de las partes litigantes, </w:t>
      </w:r>
      <w:r w:rsidR="00E35E4B">
        <w:rPr>
          <w:rFonts w:ascii="Verdana" w:hAnsi="Verdana" w:cs="Times New Roman"/>
          <w:sz w:val="20"/>
          <w:szCs w:val="20"/>
        </w:rPr>
        <w:t>es decir</w:t>
      </w:r>
      <w:r w:rsidR="00E34FDF" w:rsidRPr="009B2CA6">
        <w:rPr>
          <w:rFonts w:ascii="Verdana" w:hAnsi="Verdana" w:cs="Times New Roman"/>
          <w:sz w:val="20"/>
          <w:szCs w:val="20"/>
        </w:rPr>
        <w:t xml:space="preserve">, el propio Reglamento sobre </w:t>
      </w:r>
      <w:r w:rsidR="00B2120D" w:rsidRPr="009B2CA6">
        <w:rPr>
          <w:rFonts w:ascii="Verdana" w:hAnsi="Verdana" w:cs="Times New Roman"/>
          <w:sz w:val="20"/>
          <w:szCs w:val="20"/>
        </w:rPr>
        <w:t xml:space="preserve">la </w:t>
      </w:r>
      <w:r w:rsidR="00E34FDF" w:rsidRPr="009B2CA6">
        <w:rPr>
          <w:rFonts w:ascii="Verdana" w:hAnsi="Verdana" w:cs="Times New Roman"/>
          <w:sz w:val="20"/>
          <w:szCs w:val="20"/>
        </w:rPr>
        <w:t xml:space="preserve">Transparencia restringe la actuación de las partes </w:t>
      </w:r>
      <w:r w:rsidR="00267E45" w:rsidRPr="009B2CA6">
        <w:rPr>
          <w:rFonts w:ascii="Verdana" w:hAnsi="Verdana" w:cs="Times New Roman"/>
          <w:sz w:val="20"/>
          <w:szCs w:val="20"/>
        </w:rPr>
        <w:t xml:space="preserve">contendientes </w:t>
      </w:r>
      <w:r w:rsidR="00E34FDF" w:rsidRPr="009B2CA6">
        <w:rPr>
          <w:rFonts w:ascii="Verdana" w:hAnsi="Verdana" w:cs="Times New Roman"/>
          <w:sz w:val="20"/>
          <w:szCs w:val="20"/>
        </w:rPr>
        <w:t>para establecer una excepció</w:t>
      </w:r>
      <w:r w:rsidR="00267E45" w:rsidRPr="009B2CA6">
        <w:rPr>
          <w:rFonts w:ascii="Verdana" w:hAnsi="Verdana" w:cs="Times New Roman"/>
          <w:sz w:val="20"/>
          <w:szCs w:val="20"/>
        </w:rPr>
        <w:t>n</w:t>
      </w:r>
      <w:r w:rsidR="005117FA" w:rsidRPr="009B2CA6">
        <w:rPr>
          <w:rFonts w:ascii="Verdana" w:hAnsi="Verdana" w:cs="Times New Roman"/>
          <w:sz w:val="20"/>
          <w:szCs w:val="20"/>
        </w:rPr>
        <w:t xml:space="preserve"> a las Reglas de t</w:t>
      </w:r>
      <w:r w:rsidR="004B5A91" w:rsidRPr="009B2CA6">
        <w:rPr>
          <w:rFonts w:ascii="Verdana" w:hAnsi="Verdana" w:cs="Times New Roman"/>
          <w:sz w:val="20"/>
          <w:szCs w:val="20"/>
        </w:rPr>
        <w:t>ransparencia.</w:t>
      </w:r>
    </w:p>
    <w:p w:rsidR="00D2145E" w:rsidRPr="009B2CA6" w:rsidRDefault="00E34FDF" w:rsidP="006D3AD5">
      <w:pPr>
        <w:pStyle w:val="Contenidodelatabla"/>
        <w:spacing w:line="240" w:lineRule="auto"/>
        <w:rPr>
          <w:rFonts w:ascii="Verdana" w:hAnsi="Verdana" w:cs="Times New Roman"/>
          <w:sz w:val="20"/>
          <w:szCs w:val="20"/>
        </w:rPr>
      </w:pPr>
      <w:r>
        <w:rPr>
          <w:rFonts w:ascii="Times New Roman" w:hAnsi="Times New Roman" w:cs="Times New Roman"/>
          <w:sz w:val="24"/>
          <w:szCs w:val="24"/>
        </w:rPr>
        <w:t xml:space="preserve"> </w:t>
      </w:r>
      <w:r w:rsidR="00E35E4B">
        <w:rPr>
          <w:rFonts w:ascii="Verdana" w:hAnsi="Verdana" w:cs="Times New Roman"/>
          <w:sz w:val="20"/>
          <w:szCs w:val="20"/>
        </w:rPr>
        <w:t>Al respecto</w:t>
      </w:r>
      <w:r w:rsidR="008C06E3" w:rsidRPr="009B2CA6">
        <w:rPr>
          <w:rFonts w:ascii="Verdana" w:hAnsi="Verdana" w:cs="Times New Roman"/>
          <w:sz w:val="20"/>
          <w:szCs w:val="20"/>
        </w:rPr>
        <w:t>, consideramos muy acertado</w:t>
      </w:r>
      <w:r w:rsidR="009A1B6E" w:rsidRPr="009B2CA6">
        <w:rPr>
          <w:rFonts w:ascii="Verdana" w:hAnsi="Verdana" w:cs="Times New Roman"/>
          <w:sz w:val="20"/>
          <w:szCs w:val="20"/>
        </w:rPr>
        <w:t xml:space="preserve"> el precepto del artículo 1.3 a), </w:t>
      </w:r>
      <w:r w:rsidR="004D2C40" w:rsidRPr="009B2CA6">
        <w:rPr>
          <w:rFonts w:ascii="Verdana" w:hAnsi="Verdana" w:cs="Times New Roman"/>
          <w:sz w:val="20"/>
          <w:szCs w:val="20"/>
        </w:rPr>
        <w:t>el cual</w:t>
      </w:r>
      <w:r w:rsidR="008A0614" w:rsidRPr="009B2CA6">
        <w:rPr>
          <w:rFonts w:ascii="Verdana" w:hAnsi="Verdana" w:cs="Times New Roman"/>
          <w:sz w:val="20"/>
          <w:szCs w:val="20"/>
        </w:rPr>
        <w:t xml:space="preserve"> constituye una garantía</w:t>
      </w:r>
      <w:r w:rsidR="009A1B6E" w:rsidRPr="009B2CA6">
        <w:rPr>
          <w:rFonts w:ascii="Verdana" w:hAnsi="Verdana" w:cs="Times New Roman"/>
          <w:sz w:val="20"/>
          <w:szCs w:val="20"/>
        </w:rPr>
        <w:t xml:space="preserve"> tanto para los Estados como pa</w:t>
      </w:r>
      <w:r w:rsidR="008A0614" w:rsidRPr="009B2CA6">
        <w:rPr>
          <w:rFonts w:ascii="Verdana" w:hAnsi="Verdana" w:cs="Times New Roman"/>
          <w:sz w:val="20"/>
          <w:szCs w:val="20"/>
        </w:rPr>
        <w:t>ra el propio público en general</w:t>
      </w:r>
      <w:r w:rsidR="009A1B6E" w:rsidRPr="009B2CA6">
        <w:rPr>
          <w:rFonts w:ascii="Verdana" w:hAnsi="Verdana" w:cs="Times New Roman"/>
          <w:sz w:val="20"/>
          <w:szCs w:val="20"/>
        </w:rPr>
        <w:t xml:space="preserve"> </w:t>
      </w:r>
      <w:r w:rsidR="00AE0C8C" w:rsidRPr="009B2CA6">
        <w:rPr>
          <w:rFonts w:ascii="Verdana" w:hAnsi="Verdana" w:cs="Times New Roman"/>
          <w:sz w:val="20"/>
          <w:szCs w:val="20"/>
        </w:rPr>
        <w:t>respecto al mantenimiento de la transparencia durante todo el proceso arbitral. O</w:t>
      </w:r>
      <w:r w:rsidR="005F4731" w:rsidRPr="009B2CA6">
        <w:rPr>
          <w:rFonts w:ascii="Verdana" w:hAnsi="Verdana" w:cs="Times New Roman"/>
          <w:sz w:val="20"/>
          <w:szCs w:val="20"/>
        </w:rPr>
        <w:t xml:space="preserve"> sea, al impedir que las partes</w:t>
      </w:r>
      <w:r w:rsidR="00AE0C8C" w:rsidRPr="009B2CA6">
        <w:rPr>
          <w:rFonts w:ascii="Verdana" w:hAnsi="Verdana" w:cs="Times New Roman"/>
          <w:sz w:val="20"/>
          <w:szCs w:val="20"/>
        </w:rPr>
        <w:t xml:space="preserve"> en un </w:t>
      </w:r>
      <w:r w:rsidR="008C06E3" w:rsidRPr="009B2CA6">
        <w:rPr>
          <w:rFonts w:ascii="Verdana" w:hAnsi="Verdana" w:cs="Times New Roman"/>
          <w:sz w:val="20"/>
          <w:szCs w:val="20"/>
        </w:rPr>
        <w:t>momento determinado del proceso</w:t>
      </w:r>
      <w:r w:rsidR="00AE0C8C" w:rsidRPr="009B2CA6">
        <w:rPr>
          <w:rFonts w:ascii="Verdana" w:hAnsi="Verdana" w:cs="Times New Roman"/>
          <w:sz w:val="20"/>
          <w:szCs w:val="20"/>
        </w:rPr>
        <w:t xml:space="preserve"> se aparten de la aplicación del presente Reglamento sobre </w:t>
      </w:r>
      <w:r w:rsidR="00432873" w:rsidRPr="009B2CA6">
        <w:rPr>
          <w:rFonts w:ascii="Verdana" w:hAnsi="Verdana" w:cs="Times New Roman"/>
          <w:sz w:val="20"/>
          <w:szCs w:val="20"/>
        </w:rPr>
        <w:t xml:space="preserve">la </w:t>
      </w:r>
      <w:r w:rsidR="00FB3AA5" w:rsidRPr="009B2CA6">
        <w:rPr>
          <w:rFonts w:ascii="Verdana" w:hAnsi="Verdana" w:cs="Times New Roman"/>
          <w:sz w:val="20"/>
          <w:szCs w:val="20"/>
        </w:rPr>
        <w:t xml:space="preserve">Transparencia, </w:t>
      </w:r>
      <w:r w:rsidR="00E35E4B">
        <w:rPr>
          <w:rFonts w:ascii="Verdana" w:hAnsi="Verdana" w:cs="Times New Roman"/>
          <w:sz w:val="20"/>
          <w:szCs w:val="20"/>
        </w:rPr>
        <w:t xml:space="preserve">se ven </w:t>
      </w:r>
      <w:r w:rsidR="00FB3AA5" w:rsidRPr="009B2CA6">
        <w:rPr>
          <w:rFonts w:ascii="Verdana" w:hAnsi="Verdana" w:cs="Times New Roman"/>
          <w:sz w:val="20"/>
          <w:szCs w:val="20"/>
        </w:rPr>
        <w:t>obliga</w:t>
      </w:r>
      <w:r w:rsidR="00E35E4B">
        <w:rPr>
          <w:rFonts w:ascii="Verdana" w:hAnsi="Verdana" w:cs="Times New Roman"/>
          <w:sz w:val="20"/>
          <w:szCs w:val="20"/>
        </w:rPr>
        <w:t>das</w:t>
      </w:r>
      <w:r w:rsidR="00AE0C8C" w:rsidRPr="009B2CA6">
        <w:rPr>
          <w:rFonts w:ascii="Verdana" w:hAnsi="Verdana" w:cs="Times New Roman"/>
          <w:sz w:val="20"/>
          <w:szCs w:val="20"/>
        </w:rPr>
        <w:t xml:space="preserve"> </w:t>
      </w:r>
      <w:r w:rsidR="00E35E4B">
        <w:rPr>
          <w:rFonts w:ascii="Verdana" w:hAnsi="Verdana" w:cs="Times New Roman"/>
          <w:sz w:val="20"/>
          <w:szCs w:val="20"/>
        </w:rPr>
        <w:t xml:space="preserve">a </w:t>
      </w:r>
      <w:r w:rsidR="00AE0C8C" w:rsidRPr="009B2CA6">
        <w:rPr>
          <w:rFonts w:ascii="Verdana" w:hAnsi="Verdana" w:cs="Times New Roman"/>
          <w:sz w:val="20"/>
          <w:szCs w:val="20"/>
        </w:rPr>
        <w:t>cumplir con todos los requisitos d</w:t>
      </w:r>
      <w:r w:rsidR="005F4731" w:rsidRPr="009B2CA6">
        <w:rPr>
          <w:rFonts w:ascii="Verdana" w:hAnsi="Verdana" w:cs="Times New Roman"/>
          <w:sz w:val="20"/>
          <w:szCs w:val="20"/>
        </w:rPr>
        <w:t>e transparencia exigidos en el R</w:t>
      </w:r>
      <w:r w:rsidR="00AE0C8C" w:rsidRPr="009B2CA6">
        <w:rPr>
          <w:rFonts w:ascii="Verdana" w:hAnsi="Verdana" w:cs="Times New Roman"/>
          <w:sz w:val="20"/>
          <w:szCs w:val="20"/>
        </w:rPr>
        <w:t>eglamento</w:t>
      </w:r>
      <w:r w:rsidR="008C4C32" w:rsidRPr="009B2CA6">
        <w:rPr>
          <w:rFonts w:ascii="Verdana" w:hAnsi="Verdana" w:cs="Times New Roman"/>
          <w:sz w:val="20"/>
          <w:szCs w:val="20"/>
        </w:rPr>
        <w:t xml:space="preserve"> durante todo el proceso arbitral</w:t>
      </w:r>
      <w:r w:rsidR="00AE0C8C" w:rsidRPr="009B2CA6">
        <w:rPr>
          <w:rFonts w:ascii="Verdana" w:hAnsi="Verdana" w:cs="Times New Roman"/>
          <w:sz w:val="20"/>
          <w:szCs w:val="20"/>
        </w:rPr>
        <w:t>, evitando así</w:t>
      </w:r>
      <w:r w:rsidR="004F31B8" w:rsidRPr="009B2CA6">
        <w:rPr>
          <w:rFonts w:ascii="Verdana" w:hAnsi="Verdana" w:cs="Times New Roman"/>
          <w:sz w:val="20"/>
          <w:szCs w:val="20"/>
        </w:rPr>
        <w:t xml:space="preserve">, que </w:t>
      </w:r>
      <w:r w:rsidR="00F0245C" w:rsidRPr="009B2CA6">
        <w:rPr>
          <w:rFonts w:ascii="Verdana" w:hAnsi="Verdana" w:cs="Times New Roman"/>
          <w:sz w:val="20"/>
          <w:szCs w:val="20"/>
        </w:rPr>
        <w:t>la transparencia sea socavada por las P</w:t>
      </w:r>
      <w:r w:rsidR="004F31B8" w:rsidRPr="009B2CA6">
        <w:rPr>
          <w:rFonts w:ascii="Verdana" w:hAnsi="Verdana" w:cs="Times New Roman"/>
          <w:sz w:val="20"/>
          <w:szCs w:val="20"/>
        </w:rPr>
        <w:t xml:space="preserve">artes </w:t>
      </w:r>
      <w:r w:rsidR="004F31B8" w:rsidRPr="009B2CA6">
        <w:rPr>
          <w:rFonts w:ascii="Verdana" w:hAnsi="Verdana" w:cs="Times New Roman"/>
          <w:sz w:val="20"/>
          <w:szCs w:val="20"/>
        </w:rPr>
        <w:lastRenderedPageBreak/>
        <w:t>contendientes en un momento dado del proceso.</w:t>
      </w:r>
      <w:r w:rsidR="00593896" w:rsidRPr="009B2CA6">
        <w:rPr>
          <w:rFonts w:ascii="Verdana" w:hAnsi="Verdana" w:cs="Times New Roman"/>
          <w:sz w:val="20"/>
          <w:szCs w:val="20"/>
        </w:rPr>
        <w:t xml:space="preserve"> El presente artículo tiene un carácter impositivo, toda vez que impone a las partes la obligatoriedad de su aplicación</w:t>
      </w:r>
      <w:r w:rsidR="00593896" w:rsidRPr="009B2CA6">
        <w:rPr>
          <w:rStyle w:val="Refdenotaalpie"/>
          <w:rFonts w:ascii="Verdana" w:hAnsi="Verdana" w:cs="Times New Roman"/>
          <w:sz w:val="20"/>
          <w:szCs w:val="20"/>
        </w:rPr>
        <w:footnoteReference w:id="49"/>
      </w:r>
      <w:r w:rsidR="00593896" w:rsidRPr="009B2CA6">
        <w:rPr>
          <w:rFonts w:ascii="Verdana" w:hAnsi="Verdana" w:cs="Times New Roman"/>
          <w:sz w:val="20"/>
          <w:szCs w:val="20"/>
        </w:rPr>
        <w:t>.</w:t>
      </w:r>
      <w:r w:rsidR="00B4519B" w:rsidRPr="009B2CA6">
        <w:rPr>
          <w:rFonts w:ascii="Verdana" w:hAnsi="Verdana" w:cs="Times New Roman"/>
          <w:sz w:val="20"/>
          <w:szCs w:val="20"/>
        </w:rPr>
        <w:t xml:space="preserve"> </w:t>
      </w:r>
      <w:r w:rsidR="00F85C55" w:rsidRPr="009B2CA6">
        <w:rPr>
          <w:rFonts w:ascii="Verdana" w:hAnsi="Verdana" w:cs="Times New Roman"/>
          <w:sz w:val="20"/>
          <w:szCs w:val="20"/>
        </w:rPr>
        <w:t xml:space="preserve">Ahora bien, </w:t>
      </w:r>
      <w:r w:rsidR="00B4519B" w:rsidRPr="009B2CA6">
        <w:rPr>
          <w:rFonts w:ascii="Verdana" w:hAnsi="Verdana" w:cs="Times New Roman"/>
          <w:sz w:val="20"/>
          <w:szCs w:val="20"/>
        </w:rPr>
        <w:t xml:space="preserve">ante la restricción </w:t>
      </w:r>
      <w:r w:rsidR="005227DF" w:rsidRPr="009B2CA6">
        <w:rPr>
          <w:rFonts w:ascii="Verdana" w:hAnsi="Verdana" w:cs="Times New Roman"/>
          <w:sz w:val="20"/>
          <w:szCs w:val="20"/>
        </w:rPr>
        <w:t>en</w:t>
      </w:r>
      <w:r w:rsidR="00A6151C" w:rsidRPr="009B2CA6">
        <w:rPr>
          <w:rFonts w:ascii="Verdana" w:hAnsi="Verdana" w:cs="Times New Roman"/>
          <w:sz w:val="20"/>
          <w:szCs w:val="20"/>
        </w:rPr>
        <w:t xml:space="preserve"> la actuación de las P</w:t>
      </w:r>
      <w:r w:rsidR="00B4519B" w:rsidRPr="009B2CA6">
        <w:rPr>
          <w:rFonts w:ascii="Verdana" w:hAnsi="Verdana" w:cs="Times New Roman"/>
          <w:sz w:val="20"/>
          <w:szCs w:val="20"/>
        </w:rPr>
        <w:t xml:space="preserve">artes litigantes, esto no significa que </w:t>
      </w:r>
      <w:r w:rsidR="00A6151C" w:rsidRPr="009B2CA6">
        <w:rPr>
          <w:rFonts w:ascii="Verdana" w:hAnsi="Verdana" w:cs="Times New Roman"/>
          <w:sz w:val="20"/>
          <w:szCs w:val="20"/>
        </w:rPr>
        <w:t>no pueda</w:t>
      </w:r>
      <w:r w:rsidR="00B4519B" w:rsidRPr="009B2CA6">
        <w:rPr>
          <w:rFonts w:ascii="Verdana" w:hAnsi="Verdana" w:cs="Times New Roman"/>
          <w:sz w:val="20"/>
          <w:szCs w:val="20"/>
        </w:rPr>
        <w:t xml:space="preserve"> tenerse en cuenta ev</w:t>
      </w:r>
      <w:r w:rsidR="005227DF" w:rsidRPr="009B2CA6">
        <w:rPr>
          <w:rFonts w:ascii="Verdana" w:hAnsi="Verdana" w:cs="Times New Roman"/>
          <w:sz w:val="20"/>
          <w:szCs w:val="20"/>
        </w:rPr>
        <w:t xml:space="preserve">entuales situaciones que surjan. Así pues, </w:t>
      </w:r>
      <w:r w:rsidR="00F85C55" w:rsidRPr="009B2CA6">
        <w:rPr>
          <w:rFonts w:ascii="Verdana" w:hAnsi="Verdana" w:cs="Times New Roman"/>
          <w:sz w:val="20"/>
          <w:szCs w:val="20"/>
        </w:rPr>
        <w:t>e</w:t>
      </w:r>
      <w:r w:rsidR="00521FB1" w:rsidRPr="009B2CA6">
        <w:rPr>
          <w:rFonts w:ascii="Verdana" w:hAnsi="Verdana" w:cs="Times New Roman"/>
          <w:sz w:val="20"/>
          <w:szCs w:val="20"/>
        </w:rPr>
        <w:t xml:space="preserve">l artículo 1.3 b) </w:t>
      </w:r>
      <w:r w:rsidR="00F85C55" w:rsidRPr="009B2CA6">
        <w:rPr>
          <w:rFonts w:ascii="Verdana" w:hAnsi="Verdana" w:cs="Times New Roman"/>
          <w:sz w:val="20"/>
          <w:szCs w:val="20"/>
        </w:rPr>
        <w:t>permite</w:t>
      </w:r>
      <w:r w:rsidR="00521FB1" w:rsidRPr="009B2CA6">
        <w:rPr>
          <w:rFonts w:ascii="Verdana" w:hAnsi="Verdana" w:cs="Times New Roman"/>
          <w:sz w:val="20"/>
          <w:szCs w:val="20"/>
        </w:rPr>
        <w:t xml:space="preserve"> cierta flexibilidad al tribunal arbitral para</w:t>
      </w:r>
      <w:r w:rsidR="007E3B91" w:rsidRPr="009B2CA6">
        <w:rPr>
          <w:rFonts w:ascii="Verdana" w:hAnsi="Verdana" w:cs="Times New Roman"/>
          <w:sz w:val="20"/>
          <w:szCs w:val="20"/>
        </w:rPr>
        <w:t xml:space="preserve"> </w:t>
      </w:r>
      <w:r w:rsidR="005117FA" w:rsidRPr="009B2CA6">
        <w:rPr>
          <w:rFonts w:ascii="Verdana" w:hAnsi="Verdana" w:cs="Times New Roman"/>
          <w:sz w:val="20"/>
          <w:szCs w:val="20"/>
        </w:rPr>
        <w:t>aplicar las Reglas de t</w:t>
      </w:r>
      <w:r w:rsidR="00521FB1" w:rsidRPr="009B2CA6">
        <w:rPr>
          <w:rFonts w:ascii="Verdana" w:hAnsi="Verdana" w:cs="Times New Roman"/>
          <w:sz w:val="20"/>
          <w:szCs w:val="20"/>
        </w:rPr>
        <w:t>ransparencia</w:t>
      </w:r>
      <w:r w:rsidR="00521FB1" w:rsidRPr="009B2CA6">
        <w:rPr>
          <w:rStyle w:val="Refdenotaalpie"/>
          <w:rFonts w:ascii="Verdana" w:hAnsi="Verdana" w:cs="Times New Roman"/>
          <w:sz w:val="20"/>
          <w:szCs w:val="20"/>
        </w:rPr>
        <w:footnoteReference w:id="50"/>
      </w:r>
      <w:r w:rsidR="00521FB1" w:rsidRPr="009B2CA6">
        <w:rPr>
          <w:rFonts w:ascii="Verdana" w:hAnsi="Verdana" w:cs="Times New Roman"/>
          <w:sz w:val="20"/>
          <w:szCs w:val="20"/>
        </w:rPr>
        <w:t xml:space="preserve">. En este sentido, </w:t>
      </w:r>
      <w:r w:rsidR="00F348AC" w:rsidRPr="009B2CA6">
        <w:rPr>
          <w:rFonts w:ascii="Verdana" w:hAnsi="Verdana" w:cs="Times New Roman"/>
          <w:sz w:val="20"/>
          <w:szCs w:val="20"/>
        </w:rPr>
        <w:t>le concede u</w:t>
      </w:r>
      <w:r w:rsidR="005F4731" w:rsidRPr="009B2CA6">
        <w:rPr>
          <w:rFonts w:ascii="Verdana" w:hAnsi="Verdana" w:cs="Times New Roman"/>
          <w:sz w:val="20"/>
          <w:szCs w:val="20"/>
        </w:rPr>
        <w:t>n campo de actuación más amplio</w:t>
      </w:r>
      <w:r w:rsidR="005227DF" w:rsidRPr="009B2CA6">
        <w:rPr>
          <w:rFonts w:ascii="Verdana" w:hAnsi="Verdana" w:cs="Times New Roman"/>
          <w:sz w:val="20"/>
          <w:szCs w:val="20"/>
        </w:rPr>
        <w:t xml:space="preserve"> y le permite poder adaptar sus requerimientos a las especificidades de cada caso concreto, s</w:t>
      </w:r>
      <w:r w:rsidR="00527E9F" w:rsidRPr="009B2CA6">
        <w:rPr>
          <w:rFonts w:ascii="Verdana" w:hAnsi="Verdana" w:cs="Times New Roman"/>
          <w:sz w:val="20"/>
          <w:szCs w:val="20"/>
        </w:rPr>
        <w:t>iempre previa consulta con las P</w:t>
      </w:r>
      <w:r w:rsidR="005227DF" w:rsidRPr="009B2CA6">
        <w:rPr>
          <w:rFonts w:ascii="Verdana" w:hAnsi="Verdana" w:cs="Times New Roman"/>
          <w:sz w:val="20"/>
          <w:szCs w:val="20"/>
        </w:rPr>
        <w:t>artes litigantes y en la medida en que</w:t>
      </w:r>
      <w:r w:rsidR="00F348AC" w:rsidRPr="009B2CA6">
        <w:rPr>
          <w:rFonts w:ascii="Verdana" w:hAnsi="Verdana" w:cs="Times New Roman"/>
          <w:sz w:val="20"/>
          <w:szCs w:val="20"/>
        </w:rPr>
        <w:t xml:space="preserve"> sea necesario</w:t>
      </w:r>
      <w:r w:rsidR="00D2145E" w:rsidRPr="009B2CA6">
        <w:rPr>
          <w:rFonts w:ascii="Verdana" w:hAnsi="Verdana" w:cs="Times New Roman"/>
          <w:sz w:val="20"/>
          <w:szCs w:val="20"/>
        </w:rPr>
        <w:t xml:space="preserve"> </w:t>
      </w:r>
      <w:r w:rsidR="005227DF" w:rsidRPr="009B2CA6">
        <w:rPr>
          <w:rFonts w:ascii="Verdana" w:hAnsi="Verdana" w:cs="Times New Roman"/>
          <w:sz w:val="20"/>
          <w:szCs w:val="20"/>
        </w:rPr>
        <w:t xml:space="preserve">para favorecer </w:t>
      </w:r>
      <w:r w:rsidR="00F348AC" w:rsidRPr="009B2CA6">
        <w:rPr>
          <w:rFonts w:ascii="Verdana" w:hAnsi="Verdana" w:cs="Times New Roman"/>
          <w:sz w:val="20"/>
          <w:szCs w:val="20"/>
        </w:rPr>
        <w:t>el desarrollo pr</w:t>
      </w:r>
      <w:r w:rsidR="00D2145E" w:rsidRPr="009B2CA6">
        <w:rPr>
          <w:rFonts w:ascii="Verdana" w:hAnsi="Verdana" w:cs="Times New Roman"/>
          <w:sz w:val="20"/>
          <w:szCs w:val="20"/>
        </w:rPr>
        <w:t xml:space="preserve">áctico del arbitraje. </w:t>
      </w:r>
    </w:p>
    <w:p w:rsidR="00225192" w:rsidRPr="009B2CA6" w:rsidRDefault="00D2145E"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No obstante,</w:t>
      </w:r>
      <w:r w:rsidR="00F348AC" w:rsidRPr="009B2CA6">
        <w:rPr>
          <w:rFonts w:ascii="Verdana" w:hAnsi="Verdana" w:cs="Times New Roman"/>
          <w:sz w:val="20"/>
          <w:szCs w:val="20"/>
        </w:rPr>
        <w:t xml:space="preserve"> </w:t>
      </w:r>
      <w:r w:rsidR="00F81D07" w:rsidRPr="009B2CA6">
        <w:rPr>
          <w:rFonts w:ascii="Verdana" w:hAnsi="Verdana" w:cs="Times New Roman"/>
          <w:sz w:val="20"/>
          <w:szCs w:val="20"/>
        </w:rPr>
        <w:t xml:space="preserve">aunque el precepto defiera </w:t>
      </w:r>
      <w:r w:rsidRPr="009B2CA6">
        <w:rPr>
          <w:rFonts w:ascii="Verdana" w:hAnsi="Verdana" w:cs="Times New Roman"/>
          <w:sz w:val="20"/>
          <w:szCs w:val="20"/>
        </w:rPr>
        <w:t xml:space="preserve">al tribunal arbitral un margen </w:t>
      </w:r>
      <w:r w:rsidR="00527E9F" w:rsidRPr="009B2CA6">
        <w:rPr>
          <w:rFonts w:ascii="Verdana" w:hAnsi="Verdana" w:cs="Times New Roman"/>
          <w:sz w:val="20"/>
          <w:szCs w:val="20"/>
        </w:rPr>
        <w:t xml:space="preserve">mayor </w:t>
      </w:r>
      <w:r w:rsidRPr="009B2CA6">
        <w:rPr>
          <w:rFonts w:ascii="Verdana" w:hAnsi="Verdana" w:cs="Times New Roman"/>
          <w:sz w:val="20"/>
          <w:szCs w:val="20"/>
        </w:rPr>
        <w:t>de movilidad</w:t>
      </w:r>
      <w:r w:rsidR="004F31B8" w:rsidRPr="009B2CA6">
        <w:rPr>
          <w:rFonts w:ascii="Verdana" w:hAnsi="Verdana" w:cs="Times New Roman"/>
          <w:sz w:val="20"/>
          <w:szCs w:val="20"/>
        </w:rPr>
        <w:t xml:space="preserve"> y actuación para la aplicación del Reglamento sobre </w:t>
      </w:r>
      <w:r w:rsidR="00432873" w:rsidRPr="009B2CA6">
        <w:rPr>
          <w:rFonts w:ascii="Verdana" w:hAnsi="Verdana" w:cs="Times New Roman"/>
          <w:sz w:val="20"/>
          <w:szCs w:val="20"/>
        </w:rPr>
        <w:t xml:space="preserve">la </w:t>
      </w:r>
      <w:r w:rsidR="004F31B8" w:rsidRPr="009B2CA6">
        <w:rPr>
          <w:rFonts w:ascii="Verdana" w:hAnsi="Verdana" w:cs="Times New Roman"/>
          <w:sz w:val="20"/>
          <w:szCs w:val="20"/>
        </w:rPr>
        <w:t>Transparencia</w:t>
      </w:r>
      <w:r w:rsidRPr="009B2CA6">
        <w:rPr>
          <w:rFonts w:ascii="Verdana" w:hAnsi="Verdana" w:cs="Times New Roman"/>
          <w:sz w:val="20"/>
          <w:szCs w:val="20"/>
        </w:rPr>
        <w:t xml:space="preserve"> </w:t>
      </w:r>
      <w:r w:rsidR="00F85C55" w:rsidRPr="009B2CA6">
        <w:rPr>
          <w:rFonts w:ascii="Verdana" w:hAnsi="Verdana" w:cs="Times New Roman"/>
          <w:sz w:val="20"/>
          <w:szCs w:val="20"/>
        </w:rPr>
        <w:t>una vez</w:t>
      </w:r>
      <w:r w:rsidRPr="009B2CA6">
        <w:rPr>
          <w:rFonts w:ascii="Verdana" w:hAnsi="Verdana" w:cs="Times New Roman"/>
          <w:sz w:val="20"/>
          <w:szCs w:val="20"/>
        </w:rPr>
        <w:t xml:space="preserve"> </w:t>
      </w:r>
      <w:r w:rsidR="00F81D07" w:rsidRPr="009B2CA6">
        <w:rPr>
          <w:rFonts w:ascii="Verdana" w:hAnsi="Verdana" w:cs="Times New Roman"/>
          <w:sz w:val="20"/>
          <w:szCs w:val="20"/>
        </w:rPr>
        <w:t xml:space="preserve">haya </w:t>
      </w:r>
      <w:r w:rsidRPr="009B2CA6">
        <w:rPr>
          <w:rFonts w:ascii="Verdana" w:hAnsi="Verdana" w:cs="Times New Roman"/>
          <w:sz w:val="20"/>
          <w:szCs w:val="20"/>
        </w:rPr>
        <w:t>consulta</w:t>
      </w:r>
      <w:r w:rsidR="00F85C55" w:rsidRPr="009B2CA6">
        <w:rPr>
          <w:rFonts w:ascii="Verdana" w:hAnsi="Verdana" w:cs="Times New Roman"/>
          <w:sz w:val="20"/>
          <w:szCs w:val="20"/>
        </w:rPr>
        <w:t>d</w:t>
      </w:r>
      <w:r w:rsidRPr="009B2CA6">
        <w:rPr>
          <w:rFonts w:ascii="Verdana" w:hAnsi="Verdana" w:cs="Times New Roman"/>
          <w:sz w:val="20"/>
          <w:szCs w:val="20"/>
        </w:rPr>
        <w:t>o</w:t>
      </w:r>
      <w:r w:rsidR="00F85C55" w:rsidRPr="009B2CA6">
        <w:rPr>
          <w:rFonts w:ascii="Verdana" w:hAnsi="Verdana" w:cs="Times New Roman"/>
          <w:sz w:val="20"/>
          <w:szCs w:val="20"/>
        </w:rPr>
        <w:t xml:space="preserve"> a</w:t>
      </w:r>
      <w:r w:rsidRPr="009B2CA6">
        <w:rPr>
          <w:rFonts w:ascii="Verdana" w:hAnsi="Verdana" w:cs="Times New Roman"/>
          <w:sz w:val="20"/>
          <w:szCs w:val="20"/>
        </w:rPr>
        <w:t xml:space="preserve"> las </w:t>
      </w:r>
      <w:r w:rsidR="00F85C55" w:rsidRPr="009B2CA6">
        <w:rPr>
          <w:rFonts w:ascii="Verdana" w:hAnsi="Verdana" w:cs="Times New Roman"/>
          <w:sz w:val="20"/>
          <w:szCs w:val="20"/>
        </w:rPr>
        <w:t>P</w:t>
      </w:r>
      <w:r w:rsidRPr="009B2CA6">
        <w:rPr>
          <w:rFonts w:ascii="Verdana" w:hAnsi="Verdana" w:cs="Times New Roman"/>
          <w:sz w:val="20"/>
          <w:szCs w:val="20"/>
        </w:rPr>
        <w:t xml:space="preserve">artes contendientes, éstas no tienen poder </w:t>
      </w:r>
      <w:r w:rsidR="00BE621A" w:rsidRPr="009B2CA6">
        <w:rPr>
          <w:rFonts w:ascii="Verdana" w:hAnsi="Verdana" w:cs="Times New Roman"/>
          <w:sz w:val="20"/>
          <w:szCs w:val="20"/>
        </w:rPr>
        <w:t>decisorio al respecto, siendo</w:t>
      </w:r>
      <w:r w:rsidRPr="009B2CA6">
        <w:rPr>
          <w:rFonts w:ascii="Verdana" w:hAnsi="Verdana" w:cs="Times New Roman"/>
          <w:sz w:val="20"/>
          <w:szCs w:val="20"/>
        </w:rPr>
        <w:t xml:space="preserve"> facultad únic</w:t>
      </w:r>
      <w:r w:rsidR="00BA4655" w:rsidRPr="009B2CA6">
        <w:rPr>
          <w:rFonts w:ascii="Verdana" w:hAnsi="Verdana" w:cs="Times New Roman"/>
          <w:sz w:val="20"/>
          <w:szCs w:val="20"/>
        </w:rPr>
        <w:t>a y exclusiva</w:t>
      </w:r>
      <w:r w:rsidR="00B07B7D" w:rsidRPr="009B2CA6">
        <w:rPr>
          <w:rFonts w:ascii="Verdana" w:hAnsi="Verdana" w:cs="Times New Roman"/>
          <w:sz w:val="20"/>
          <w:szCs w:val="20"/>
        </w:rPr>
        <w:t xml:space="preserve"> del tribunal,</w:t>
      </w:r>
      <w:r w:rsidR="00923B6A" w:rsidRPr="009B2CA6">
        <w:rPr>
          <w:rFonts w:ascii="Verdana" w:hAnsi="Verdana" w:cs="Times New Roman"/>
          <w:sz w:val="20"/>
          <w:szCs w:val="20"/>
        </w:rPr>
        <w:t xml:space="preserve"> el cual puede</w:t>
      </w:r>
      <w:r w:rsidR="00BE621A" w:rsidRPr="009B2CA6">
        <w:rPr>
          <w:rFonts w:ascii="Verdana" w:hAnsi="Verdana" w:cs="Times New Roman"/>
          <w:sz w:val="20"/>
          <w:szCs w:val="20"/>
        </w:rPr>
        <w:t>, en busca de una mayor transparencia en el procedimiento,</w:t>
      </w:r>
      <w:r w:rsidR="00923B6A" w:rsidRPr="009B2CA6">
        <w:rPr>
          <w:rFonts w:ascii="Verdana" w:hAnsi="Verdana" w:cs="Times New Roman"/>
          <w:sz w:val="20"/>
          <w:szCs w:val="20"/>
        </w:rPr>
        <w:t xml:space="preserve"> ampliar el alcance de las normas de transparencia, estableciendo los mecanismos específicos para su aplicación</w:t>
      </w:r>
      <w:r w:rsidR="00923B6A" w:rsidRPr="009B2CA6">
        <w:rPr>
          <w:rStyle w:val="Refdenotaalpie"/>
          <w:rFonts w:ascii="Verdana" w:hAnsi="Verdana" w:cs="Times New Roman"/>
          <w:sz w:val="20"/>
          <w:szCs w:val="20"/>
        </w:rPr>
        <w:footnoteReference w:id="51"/>
      </w:r>
      <w:r w:rsidR="00F81D07" w:rsidRPr="009B2CA6">
        <w:rPr>
          <w:rFonts w:ascii="Verdana" w:hAnsi="Verdana" w:cs="Times New Roman"/>
          <w:sz w:val="20"/>
          <w:szCs w:val="20"/>
        </w:rPr>
        <w:t>, siempre que promueva el</w:t>
      </w:r>
      <w:r w:rsidR="00BA4655" w:rsidRPr="009B2CA6">
        <w:rPr>
          <w:rFonts w:ascii="Verdana" w:hAnsi="Verdana" w:cs="Times New Roman"/>
          <w:sz w:val="20"/>
          <w:szCs w:val="20"/>
        </w:rPr>
        <w:t xml:space="preserve"> mantenimiento de la transparencia durante el proceso</w:t>
      </w:r>
      <w:r w:rsidR="00923B6A" w:rsidRPr="009B2CA6">
        <w:rPr>
          <w:rFonts w:ascii="Verdana" w:hAnsi="Verdana" w:cs="Times New Roman"/>
          <w:sz w:val="20"/>
          <w:szCs w:val="20"/>
        </w:rPr>
        <w:t>. C</w:t>
      </w:r>
      <w:r w:rsidRPr="009B2CA6">
        <w:rPr>
          <w:rFonts w:ascii="Verdana" w:hAnsi="Verdana" w:cs="Times New Roman"/>
          <w:sz w:val="20"/>
          <w:szCs w:val="20"/>
        </w:rPr>
        <w:t>on</w:t>
      </w:r>
      <w:r w:rsidR="004D2C40" w:rsidRPr="009B2CA6">
        <w:rPr>
          <w:rFonts w:ascii="Verdana" w:hAnsi="Verdana" w:cs="Times New Roman"/>
          <w:sz w:val="20"/>
          <w:szCs w:val="20"/>
        </w:rPr>
        <w:t>dición ésta que consideramos</w:t>
      </w:r>
      <w:r w:rsidR="00B07B7D" w:rsidRPr="009B2CA6">
        <w:rPr>
          <w:rFonts w:ascii="Verdana" w:hAnsi="Verdana" w:cs="Times New Roman"/>
          <w:sz w:val="20"/>
          <w:szCs w:val="20"/>
        </w:rPr>
        <w:t xml:space="preserve"> acer</w:t>
      </w:r>
      <w:r w:rsidRPr="009B2CA6">
        <w:rPr>
          <w:rFonts w:ascii="Verdana" w:hAnsi="Verdana" w:cs="Times New Roman"/>
          <w:sz w:val="20"/>
          <w:szCs w:val="20"/>
        </w:rPr>
        <w:t>tada, ya que permite que el tribunal pueda actuar sin restricción siempre que lo considere oportuno, siendo coherente</w:t>
      </w:r>
      <w:r w:rsidR="004F31B8" w:rsidRPr="009B2CA6">
        <w:rPr>
          <w:rFonts w:ascii="Verdana" w:hAnsi="Verdana" w:cs="Times New Roman"/>
          <w:sz w:val="20"/>
          <w:szCs w:val="20"/>
        </w:rPr>
        <w:t xml:space="preserve">, como es lógico, </w:t>
      </w:r>
      <w:r w:rsidRPr="009B2CA6">
        <w:rPr>
          <w:rFonts w:ascii="Verdana" w:hAnsi="Verdana" w:cs="Times New Roman"/>
          <w:sz w:val="20"/>
          <w:szCs w:val="20"/>
        </w:rPr>
        <w:t xml:space="preserve">con los objetivos del propio </w:t>
      </w:r>
      <w:r w:rsidR="004D2C40" w:rsidRPr="009B2CA6">
        <w:rPr>
          <w:rFonts w:ascii="Verdana" w:hAnsi="Verdana" w:cs="Times New Roman"/>
          <w:sz w:val="20"/>
          <w:szCs w:val="20"/>
        </w:rPr>
        <w:t>R</w:t>
      </w:r>
      <w:r w:rsidR="005117FA" w:rsidRPr="009B2CA6">
        <w:rPr>
          <w:rFonts w:ascii="Verdana" w:hAnsi="Verdana" w:cs="Times New Roman"/>
          <w:sz w:val="20"/>
          <w:szCs w:val="20"/>
        </w:rPr>
        <w:t>eglamento,</w:t>
      </w:r>
      <w:r w:rsidR="00152D19" w:rsidRPr="009B2CA6">
        <w:rPr>
          <w:rFonts w:ascii="Verdana" w:hAnsi="Verdana" w:cs="Times New Roman"/>
          <w:sz w:val="20"/>
          <w:szCs w:val="20"/>
        </w:rPr>
        <w:t xml:space="preserve"> </w:t>
      </w:r>
      <w:r w:rsidR="005117FA" w:rsidRPr="009B2CA6">
        <w:rPr>
          <w:rFonts w:ascii="Verdana" w:hAnsi="Verdana" w:cs="Times New Roman"/>
          <w:sz w:val="20"/>
          <w:szCs w:val="20"/>
        </w:rPr>
        <w:t>l</w:t>
      </w:r>
      <w:r w:rsidR="00152D19" w:rsidRPr="009B2CA6">
        <w:rPr>
          <w:rFonts w:ascii="Verdana" w:hAnsi="Verdana" w:cs="Times New Roman"/>
          <w:sz w:val="20"/>
          <w:szCs w:val="20"/>
        </w:rPr>
        <w:t xml:space="preserve">o que favorece </w:t>
      </w:r>
      <w:r w:rsidR="007E3B91" w:rsidRPr="009B2CA6">
        <w:rPr>
          <w:rFonts w:ascii="Verdana" w:hAnsi="Verdana" w:cs="Times New Roman"/>
          <w:sz w:val="20"/>
          <w:szCs w:val="20"/>
        </w:rPr>
        <w:t xml:space="preserve">no solo </w:t>
      </w:r>
      <w:r w:rsidR="00152D19" w:rsidRPr="009B2CA6">
        <w:rPr>
          <w:rFonts w:ascii="Verdana" w:hAnsi="Verdana" w:cs="Times New Roman"/>
          <w:sz w:val="20"/>
          <w:szCs w:val="20"/>
        </w:rPr>
        <w:t>e</w:t>
      </w:r>
      <w:r w:rsidR="004F31B8" w:rsidRPr="009B2CA6">
        <w:rPr>
          <w:rFonts w:ascii="Verdana" w:hAnsi="Verdana" w:cs="Times New Roman"/>
          <w:sz w:val="20"/>
          <w:szCs w:val="20"/>
        </w:rPr>
        <w:t>l incremento de la transparencia</w:t>
      </w:r>
      <w:r w:rsidR="00152D19" w:rsidRPr="009B2CA6">
        <w:rPr>
          <w:rFonts w:ascii="Verdana" w:hAnsi="Verdana" w:cs="Times New Roman"/>
          <w:sz w:val="20"/>
          <w:szCs w:val="20"/>
        </w:rPr>
        <w:t xml:space="preserve"> en el arbitra</w:t>
      </w:r>
      <w:r w:rsidR="007E3B91" w:rsidRPr="009B2CA6">
        <w:rPr>
          <w:rFonts w:ascii="Verdana" w:hAnsi="Verdana" w:cs="Times New Roman"/>
          <w:sz w:val="20"/>
          <w:szCs w:val="20"/>
        </w:rPr>
        <w:t>je de inversiones, sino también</w:t>
      </w:r>
      <w:r w:rsidR="00152D19" w:rsidRPr="009B2CA6">
        <w:rPr>
          <w:rFonts w:ascii="Verdana" w:hAnsi="Verdana" w:cs="Times New Roman"/>
          <w:sz w:val="20"/>
          <w:szCs w:val="20"/>
        </w:rPr>
        <w:t xml:space="preserve"> </w:t>
      </w:r>
      <w:r w:rsidR="00B07B7D" w:rsidRPr="009B2CA6">
        <w:rPr>
          <w:rFonts w:ascii="Verdana" w:hAnsi="Verdana" w:cs="Times New Roman"/>
          <w:sz w:val="20"/>
          <w:szCs w:val="20"/>
        </w:rPr>
        <w:t>la</w:t>
      </w:r>
      <w:r w:rsidR="006716C5" w:rsidRPr="009B2CA6">
        <w:rPr>
          <w:rFonts w:ascii="Verdana" w:hAnsi="Verdana" w:cs="Times New Roman"/>
          <w:sz w:val="20"/>
          <w:szCs w:val="20"/>
        </w:rPr>
        <w:t xml:space="preserve"> eficacia</w:t>
      </w:r>
      <w:r w:rsidR="00152D19" w:rsidRPr="009B2CA6">
        <w:rPr>
          <w:rFonts w:ascii="Verdana" w:hAnsi="Verdana" w:cs="Times New Roman"/>
          <w:sz w:val="20"/>
          <w:szCs w:val="20"/>
        </w:rPr>
        <w:t xml:space="preserve"> del procedimiento</w:t>
      </w:r>
      <w:r w:rsidR="00DA5B8A" w:rsidRPr="009B2CA6">
        <w:rPr>
          <w:rStyle w:val="Refdenotaalpie"/>
          <w:rFonts w:ascii="Verdana" w:hAnsi="Verdana" w:cs="Times New Roman"/>
          <w:sz w:val="20"/>
          <w:szCs w:val="20"/>
        </w:rPr>
        <w:footnoteReference w:id="52"/>
      </w:r>
      <w:r w:rsidR="00152D19" w:rsidRPr="009B2CA6">
        <w:rPr>
          <w:rFonts w:ascii="Verdana" w:hAnsi="Verdana" w:cs="Times New Roman"/>
          <w:sz w:val="20"/>
          <w:szCs w:val="20"/>
        </w:rPr>
        <w:t>.</w:t>
      </w:r>
      <w:r w:rsidR="004F31B8" w:rsidRPr="009B2CA6">
        <w:rPr>
          <w:rFonts w:ascii="Verdana" w:hAnsi="Verdana" w:cs="Times New Roman"/>
          <w:sz w:val="20"/>
          <w:szCs w:val="20"/>
        </w:rPr>
        <w:t xml:space="preserve"> </w:t>
      </w:r>
      <w:r w:rsidR="00442F9B" w:rsidRPr="009B2CA6">
        <w:rPr>
          <w:rFonts w:ascii="Verdana" w:hAnsi="Verdana" w:cs="Times New Roman"/>
          <w:sz w:val="20"/>
          <w:szCs w:val="20"/>
        </w:rPr>
        <w:t>T</w:t>
      </w:r>
      <w:r w:rsidR="006716C5" w:rsidRPr="009B2CA6">
        <w:rPr>
          <w:rFonts w:ascii="Verdana" w:hAnsi="Verdana" w:cs="Times New Roman"/>
          <w:sz w:val="20"/>
          <w:szCs w:val="20"/>
        </w:rPr>
        <w:t xml:space="preserve">oda actuación del tribunal debe ser con el único propósito de aumentar o asegurar la transparencia en un caso concreto y no disminuirla. </w:t>
      </w:r>
    </w:p>
    <w:p w:rsidR="00251FD3" w:rsidRPr="009B2CA6" w:rsidRDefault="00527E9F"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 </w:t>
      </w:r>
    </w:p>
    <w:p w:rsidR="00CE169C" w:rsidRPr="009B2CA6" w:rsidRDefault="00E0258A" w:rsidP="006D3AD5">
      <w:pPr>
        <w:pStyle w:val="Contenidodelatabla"/>
        <w:spacing w:line="240" w:lineRule="auto"/>
        <w:ind w:firstLine="0"/>
        <w:outlineLvl w:val="2"/>
        <w:rPr>
          <w:rFonts w:ascii="Verdana" w:hAnsi="Verdana" w:cs="Times New Roman"/>
          <w:b/>
          <w:sz w:val="20"/>
          <w:szCs w:val="20"/>
        </w:rPr>
      </w:pPr>
      <w:bookmarkStart w:id="28" w:name="_Toc536741919"/>
      <w:bookmarkStart w:id="29" w:name="_Toc1224441"/>
      <w:r w:rsidRPr="009B2CA6">
        <w:rPr>
          <w:rFonts w:ascii="Verdana" w:hAnsi="Verdana" w:cs="Times New Roman"/>
          <w:b/>
          <w:sz w:val="20"/>
          <w:szCs w:val="20"/>
        </w:rPr>
        <w:t>4.1.3</w:t>
      </w:r>
      <w:r w:rsidR="00CE169C" w:rsidRPr="009B2CA6">
        <w:rPr>
          <w:rFonts w:ascii="Verdana" w:hAnsi="Verdana" w:cs="Times New Roman"/>
          <w:b/>
          <w:sz w:val="20"/>
          <w:szCs w:val="20"/>
        </w:rPr>
        <w:t xml:space="preserve"> Discrecionalidad y autoridad del tribunal arbitral.</w:t>
      </w:r>
      <w:bookmarkEnd w:id="28"/>
      <w:bookmarkEnd w:id="29"/>
    </w:p>
    <w:p w:rsidR="00B11D4B" w:rsidRPr="009B2CA6" w:rsidRDefault="00947907"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El Reglamento sobre</w:t>
      </w:r>
      <w:r w:rsidR="005117FA" w:rsidRPr="009B2CA6">
        <w:rPr>
          <w:rFonts w:ascii="Verdana" w:hAnsi="Verdana" w:cs="Times New Roman"/>
          <w:sz w:val="20"/>
          <w:szCs w:val="20"/>
        </w:rPr>
        <w:t xml:space="preserve"> la</w:t>
      </w:r>
      <w:r w:rsidRPr="009B2CA6">
        <w:rPr>
          <w:rFonts w:ascii="Verdana" w:hAnsi="Verdana" w:cs="Times New Roman"/>
          <w:sz w:val="20"/>
          <w:szCs w:val="20"/>
        </w:rPr>
        <w:t xml:space="preserve"> Transparencia, siguiendo una secuencia lógica para su aplicación, después de brindarle un amplio margen de movilidad al tribunal arbitral en el prece</w:t>
      </w:r>
      <w:r w:rsidR="00460349" w:rsidRPr="009B2CA6">
        <w:rPr>
          <w:rFonts w:ascii="Verdana" w:hAnsi="Verdana" w:cs="Times New Roman"/>
          <w:sz w:val="20"/>
          <w:szCs w:val="20"/>
        </w:rPr>
        <w:t>pto anterior,</w:t>
      </w:r>
      <w:r w:rsidR="00413F8E" w:rsidRPr="009B2CA6">
        <w:rPr>
          <w:rFonts w:ascii="Verdana" w:hAnsi="Verdana" w:cs="Times New Roman"/>
          <w:sz w:val="20"/>
          <w:szCs w:val="20"/>
        </w:rPr>
        <w:t xml:space="preserve"> e</w:t>
      </w:r>
      <w:r w:rsidR="00765C09" w:rsidRPr="009B2CA6">
        <w:rPr>
          <w:rFonts w:ascii="Verdana" w:hAnsi="Verdana" w:cs="Times New Roman"/>
          <w:sz w:val="20"/>
          <w:szCs w:val="20"/>
        </w:rPr>
        <w:t>n el artículo 1.4</w:t>
      </w:r>
      <w:r w:rsidR="007020EF" w:rsidRPr="009B2CA6">
        <w:rPr>
          <w:rFonts w:ascii="Verdana" w:hAnsi="Verdana" w:cs="Times New Roman"/>
          <w:sz w:val="20"/>
          <w:szCs w:val="20"/>
        </w:rPr>
        <w:t xml:space="preserve"> insta a los tribunales a eje</w:t>
      </w:r>
      <w:r w:rsidR="00015D81" w:rsidRPr="009B2CA6">
        <w:rPr>
          <w:rFonts w:ascii="Verdana" w:hAnsi="Verdana" w:cs="Times New Roman"/>
          <w:sz w:val="20"/>
          <w:szCs w:val="20"/>
        </w:rPr>
        <w:t>rcer discrecionalidad</w:t>
      </w:r>
      <w:r w:rsidR="007020EF" w:rsidRPr="009B2CA6">
        <w:rPr>
          <w:rFonts w:ascii="Verdana" w:hAnsi="Verdana" w:cs="Times New Roman"/>
          <w:sz w:val="20"/>
          <w:szCs w:val="20"/>
        </w:rPr>
        <w:t xml:space="preserve"> en </w:t>
      </w:r>
      <w:r w:rsidR="007020EF" w:rsidRPr="009B2CA6">
        <w:rPr>
          <w:rFonts w:ascii="Verdana" w:hAnsi="Verdana" w:cs="Times New Roman"/>
          <w:sz w:val="20"/>
          <w:szCs w:val="20"/>
        </w:rPr>
        <w:lastRenderedPageBreak/>
        <w:t>sus actuaciones</w:t>
      </w:r>
      <w:r w:rsidR="00954617" w:rsidRPr="009B2CA6">
        <w:rPr>
          <w:rStyle w:val="Refdenotaalpie"/>
          <w:rFonts w:ascii="Verdana" w:hAnsi="Verdana" w:cs="Times New Roman"/>
          <w:sz w:val="20"/>
          <w:szCs w:val="20"/>
        </w:rPr>
        <w:footnoteReference w:id="53"/>
      </w:r>
      <w:r w:rsidRPr="009B2CA6">
        <w:rPr>
          <w:rFonts w:ascii="Verdana" w:hAnsi="Verdana" w:cs="Times New Roman"/>
          <w:sz w:val="20"/>
          <w:szCs w:val="20"/>
        </w:rPr>
        <w:t>.</w:t>
      </w:r>
      <w:r w:rsidR="00954617" w:rsidRPr="009B2CA6">
        <w:rPr>
          <w:rFonts w:ascii="Verdana" w:hAnsi="Verdana" w:cs="Times New Roman"/>
          <w:sz w:val="20"/>
          <w:szCs w:val="20"/>
        </w:rPr>
        <w:t xml:space="preserve"> En este senti</w:t>
      </w:r>
      <w:r w:rsidR="00AF52E0" w:rsidRPr="009B2CA6">
        <w:rPr>
          <w:rFonts w:ascii="Verdana" w:hAnsi="Verdana" w:cs="Times New Roman"/>
          <w:sz w:val="20"/>
          <w:szCs w:val="20"/>
        </w:rPr>
        <w:t xml:space="preserve">do, el </w:t>
      </w:r>
      <w:r w:rsidR="00016925" w:rsidRPr="009B2CA6">
        <w:rPr>
          <w:rFonts w:ascii="Verdana" w:hAnsi="Verdana" w:cs="Times New Roman"/>
          <w:sz w:val="20"/>
          <w:szCs w:val="20"/>
        </w:rPr>
        <w:t>propio R</w:t>
      </w:r>
      <w:r w:rsidR="00AF52E0" w:rsidRPr="009B2CA6">
        <w:rPr>
          <w:rFonts w:ascii="Verdana" w:hAnsi="Verdana" w:cs="Times New Roman"/>
          <w:sz w:val="20"/>
          <w:szCs w:val="20"/>
        </w:rPr>
        <w:t xml:space="preserve">eglamento establece </w:t>
      </w:r>
      <w:r w:rsidR="00BC6455" w:rsidRPr="009B2CA6">
        <w:rPr>
          <w:rFonts w:ascii="Verdana" w:hAnsi="Verdana" w:cs="Times New Roman"/>
          <w:sz w:val="20"/>
          <w:szCs w:val="20"/>
        </w:rPr>
        <w:t>los criterios a través de los cuales</w:t>
      </w:r>
      <w:r w:rsidR="00954617" w:rsidRPr="009B2CA6">
        <w:rPr>
          <w:rFonts w:ascii="Verdana" w:hAnsi="Verdana" w:cs="Times New Roman"/>
          <w:sz w:val="20"/>
          <w:szCs w:val="20"/>
        </w:rPr>
        <w:t xml:space="preserve"> </w:t>
      </w:r>
      <w:r w:rsidR="00AF52E0" w:rsidRPr="009B2CA6">
        <w:rPr>
          <w:rFonts w:ascii="Verdana" w:hAnsi="Verdana" w:cs="Times New Roman"/>
          <w:sz w:val="20"/>
          <w:szCs w:val="20"/>
        </w:rPr>
        <w:t>e</w:t>
      </w:r>
      <w:r w:rsidR="00954617" w:rsidRPr="009B2CA6">
        <w:rPr>
          <w:rFonts w:ascii="Verdana" w:hAnsi="Verdana" w:cs="Times New Roman"/>
          <w:sz w:val="20"/>
          <w:szCs w:val="20"/>
        </w:rPr>
        <w:t>l tribunal arbitral</w:t>
      </w:r>
      <w:r w:rsidR="00AF52E0" w:rsidRPr="009B2CA6">
        <w:rPr>
          <w:rFonts w:ascii="Verdana" w:hAnsi="Verdana" w:cs="Times New Roman"/>
          <w:sz w:val="20"/>
          <w:szCs w:val="20"/>
        </w:rPr>
        <w:t xml:space="preserve"> debe ejercer esa facultad de apreciación, </w:t>
      </w:r>
      <w:r w:rsidR="00BC6455" w:rsidRPr="009B2CA6">
        <w:rPr>
          <w:rFonts w:ascii="Verdana" w:hAnsi="Verdana" w:cs="Times New Roman"/>
          <w:sz w:val="20"/>
          <w:szCs w:val="20"/>
        </w:rPr>
        <w:t>teniendo</w:t>
      </w:r>
      <w:r w:rsidR="00AF52E0" w:rsidRPr="009B2CA6">
        <w:rPr>
          <w:rFonts w:ascii="Verdana" w:hAnsi="Verdana" w:cs="Times New Roman"/>
          <w:sz w:val="20"/>
          <w:szCs w:val="20"/>
        </w:rPr>
        <w:t xml:space="preserve"> en cuenta</w:t>
      </w:r>
      <w:r w:rsidR="00FC4702" w:rsidRPr="009B2CA6">
        <w:rPr>
          <w:rFonts w:ascii="Verdana" w:hAnsi="Verdana" w:cs="Times New Roman"/>
          <w:sz w:val="20"/>
          <w:szCs w:val="20"/>
        </w:rPr>
        <w:t>,</w:t>
      </w:r>
      <w:r w:rsidR="00954617" w:rsidRPr="009B2CA6">
        <w:rPr>
          <w:rFonts w:ascii="Verdana" w:hAnsi="Verdana" w:cs="Times New Roman"/>
          <w:sz w:val="20"/>
          <w:szCs w:val="20"/>
        </w:rPr>
        <w:t xml:space="preserve"> en </w:t>
      </w:r>
      <w:r w:rsidR="00FC4702" w:rsidRPr="009B2CA6">
        <w:rPr>
          <w:rFonts w:ascii="Verdana" w:hAnsi="Verdana" w:cs="Times New Roman"/>
          <w:sz w:val="20"/>
          <w:szCs w:val="20"/>
        </w:rPr>
        <w:t>primer lugar</w:t>
      </w:r>
      <w:r w:rsidR="00954617" w:rsidRPr="009B2CA6">
        <w:rPr>
          <w:rFonts w:ascii="Verdana" w:hAnsi="Verdana" w:cs="Times New Roman"/>
          <w:sz w:val="20"/>
          <w:szCs w:val="20"/>
        </w:rPr>
        <w:t xml:space="preserve"> el interés púb</w:t>
      </w:r>
      <w:r w:rsidR="00172CED" w:rsidRPr="009B2CA6">
        <w:rPr>
          <w:rFonts w:ascii="Verdana" w:hAnsi="Verdana" w:cs="Times New Roman"/>
          <w:sz w:val="20"/>
          <w:szCs w:val="20"/>
        </w:rPr>
        <w:t xml:space="preserve">lico en la transparencia </w:t>
      </w:r>
      <w:r w:rsidR="00460349" w:rsidRPr="009B2CA6">
        <w:rPr>
          <w:rFonts w:ascii="Verdana" w:hAnsi="Verdana" w:cs="Times New Roman"/>
          <w:sz w:val="20"/>
          <w:szCs w:val="20"/>
        </w:rPr>
        <w:t xml:space="preserve">tanto </w:t>
      </w:r>
      <w:r w:rsidR="00954617" w:rsidRPr="009B2CA6">
        <w:rPr>
          <w:rFonts w:ascii="Verdana" w:hAnsi="Verdana" w:cs="Times New Roman"/>
          <w:sz w:val="20"/>
          <w:szCs w:val="20"/>
        </w:rPr>
        <w:t>en el arbi</w:t>
      </w:r>
      <w:r w:rsidR="00AD352A" w:rsidRPr="009B2CA6">
        <w:rPr>
          <w:rFonts w:ascii="Verdana" w:hAnsi="Verdana" w:cs="Times New Roman"/>
          <w:sz w:val="20"/>
          <w:szCs w:val="20"/>
        </w:rPr>
        <w:t>traje inversionista-Estado</w:t>
      </w:r>
      <w:r w:rsidR="00460349" w:rsidRPr="009B2CA6">
        <w:rPr>
          <w:rFonts w:ascii="Verdana" w:hAnsi="Verdana" w:cs="Times New Roman"/>
          <w:sz w:val="20"/>
          <w:szCs w:val="20"/>
        </w:rPr>
        <w:t xml:space="preserve"> como</w:t>
      </w:r>
      <w:r w:rsidR="00954617" w:rsidRPr="009B2CA6">
        <w:rPr>
          <w:rFonts w:ascii="Verdana" w:hAnsi="Verdana" w:cs="Times New Roman"/>
          <w:sz w:val="20"/>
          <w:szCs w:val="20"/>
        </w:rPr>
        <w:t xml:space="preserve"> en el procedimiento arbitral</w:t>
      </w:r>
      <w:r w:rsidR="00664B3B" w:rsidRPr="009B2CA6">
        <w:rPr>
          <w:rFonts w:ascii="Verdana" w:hAnsi="Verdana" w:cs="Times New Roman"/>
          <w:sz w:val="20"/>
          <w:szCs w:val="20"/>
        </w:rPr>
        <w:t xml:space="preserve"> </w:t>
      </w:r>
      <w:r w:rsidR="00954617" w:rsidRPr="009B2CA6">
        <w:rPr>
          <w:rFonts w:ascii="Verdana" w:hAnsi="Verdana" w:cs="Times New Roman"/>
          <w:sz w:val="20"/>
          <w:szCs w:val="20"/>
        </w:rPr>
        <w:t>en particular</w:t>
      </w:r>
      <w:r w:rsidR="00664B3B" w:rsidRPr="009B2CA6">
        <w:rPr>
          <w:rStyle w:val="Refdenotaalpie"/>
          <w:rFonts w:ascii="Verdana" w:hAnsi="Verdana" w:cs="Times New Roman"/>
          <w:sz w:val="20"/>
          <w:szCs w:val="20"/>
        </w:rPr>
        <w:footnoteReference w:id="54"/>
      </w:r>
      <w:r w:rsidR="00954617" w:rsidRPr="009B2CA6">
        <w:rPr>
          <w:rFonts w:ascii="Verdana" w:hAnsi="Verdana" w:cs="Times New Roman"/>
          <w:sz w:val="20"/>
          <w:szCs w:val="20"/>
        </w:rPr>
        <w:t xml:space="preserve"> </w:t>
      </w:r>
      <w:r w:rsidR="00765C09" w:rsidRPr="009B2CA6">
        <w:rPr>
          <w:rFonts w:ascii="Verdana" w:hAnsi="Verdana" w:cs="Times New Roman"/>
          <w:sz w:val="20"/>
          <w:szCs w:val="20"/>
        </w:rPr>
        <w:t>y</w:t>
      </w:r>
      <w:r w:rsidR="00085E40" w:rsidRPr="009B2CA6">
        <w:rPr>
          <w:rFonts w:ascii="Verdana" w:hAnsi="Verdana" w:cs="Times New Roman"/>
          <w:sz w:val="20"/>
          <w:szCs w:val="20"/>
        </w:rPr>
        <w:t>,</w:t>
      </w:r>
      <w:r w:rsidR="00954617" w:rsidRPr="009B2CA6">
        <w:rPr>
          <w:rFonts w:ascii="Verdana" w:hAnsi="Verdana" w:cs="Times New Roman"/>
          <w:sz w:val="20"/>
          <w:szCs w:val="20"/>
        </w:rPr>
        <w:t xml:space="preserve"> en segundo lugar, el interés de las partes litigante</w:t>
      </w:r>
      <w:r w:rsidR="00B96914" w:rsidRPr="009B2CA6">
        <w:rPr>
          <w:rFonts w:ascii="Verdana" w:hAnsi="Verdana" w:cs="Times New Roman"/>
          <w:sz w:val="20"/>
          <w:szCs w:val="20"/>
        </w:rPr>
        <w:t>s</w:t>
      </w:r>
      <w:r w:rsidR="00954617" w:rsidRPr="009B2CA6">
        <w:rPr>
          <w:rFonts w:ascii="Verdana" w:hAnsi="Verdana" w:cs="Times New Roman"/>
          <w:sz w:val="20"/>
          <w:szCs w:val="20"/>
        </w:rPr>
        <w:t xml:space="preserve"> para obtener una resolución justa y eficiente de la controversia</w:t>
      </w:r>
      <w:r w:rsidR="00085E40" w:rsidRPr="009B2CA6">
        <w:rPr>
          <w:rStyle w:val="Refdenotaalpie"/>
          <w:rFonts w:ascii="Verdana" w:hAnsi="Verdana" w:cs="Times New Roman"/>
          <w:sz w:val="20"/>
          <w:szCs w:val="20"/>
        </w:rPr>
        <w:footnoteReference w:id="55"/>
      </w:r>
      <w:r w:rsidR="00954617" w:rsidRPr="009B2CA6">
        <w:rPr>
          <w:rFonts w:ascii="Verdana" w:hAnsi="Verdana" w:cs="Times New Roman"/>
          <w:sz w:val="20"/>
          <w:szCs w:val="20"/>
        </w:rPr>
        <w:t>.</w:t>
      </w:r>
      <w:r w:rsidR="00460349" w:rsidRPr="009B2CA6">
        <w:rPr>
          <w:rFonts w:ascii="Verdana" w:hAnsi="Verdana" w:cs="Times New Roman"/>
          <w:sz w:val="20"/>
          <w:szCs w:val="20"/>
        </w:rPr>
        <w:t xml:space="preserve"> Cuestión ésta muy interesante, ya que si bien estos elementos son parte de los logros obtenidos en el TLCAN, hemos de reconocer que el propio Reglamento, en su afán de enfatizar dichos criterios en el propio cuerpo dispositivo, los acoge como principios generales de la transparencia en el</w:t>
      </w:r>
      <w:r w:rsidR="00B96914" w:rsidRPr="009B2CA6">
        <w:rPr>
          <w:rFonts w:ascii="Verdana" w:hAnsi="Verdana" w:cs="Times New Roman"/>
          <w:sz w:val="20"/>
          <w:szCs w:val="20"/>
        </w:rPr>
        <w:t xml:space="preserve"> arbitraje inversionista-Estado,</w:t>
      </w:r>
      <w:r w:rsidR="00460349" w:rsidRPr="009B2CA6">
        <w:rPr>
          <w:rFonts w:ascii="Verdana" w:hAnsi="Verdana" w:cs="Times New Roman"/>
          <w:sz w:val="20"/>
          <w:szCs w:val="20"/>
        </w:rPr>
        <w:t xml:space="preserve"> </w:t>
      </w:r>
      <w:r w:rsidR="00B96914" w:rsidRPr="009B2CA6">
        <w:rPr>
          <w:rFonts w:ascii="Verdana" w:hAnsi="Verdana" w:cs="Times New Roman"/>
          <w:sz w:val="20"/>
          <w:szCs w:val="20"/>
        </w:rPr>
        <w:t>l</w:t>
      </w:r>
      <w:r w:rsidR="00460349" w:rsidRPr="009B2CA6">
        <w:rPr>
          <w:rFonts w:ascii="Verdana" w:hAnsi="Verdana" w:cs="Times New Roman"/>
          <w:sz w:val="20"/>
          <w:szCs w:val="20"/>
        </w:rPr>
        <w:t>o que puede ser considerado como un salto cualitativamente superior en lo que a la transpar</w:t>
      </w:r>
      <w:r w:rsidR="00590ECE" w:rsidRPr="009B2CA6">
        <w:rPr>
          <w:rFonts w:ascii="Verdana" w:hAnsi="Verdana" w:cs="Times New Roman"/>
          <w:sz w:val="20"/>
          <w:szCs w:val="20"/>
        </w:rPr>
        <w:t>encia concierne</w:t>
      </w:r>
      <w:r w:rsidR="00EA15D3" w:rsidRPr="009B2CA6">
        <w:rPr>
          <w:rFonts w:ascii="Verdana" w:hAnsi="Verdana" w:cs="Times New Roman"/>
          <w:sz w:val="20"/>
          <w:szCs w:val="20"/>
        </w:rPr>
        <w:t xml:space="preserve"> dentro del marco legal del</w:t>
      </w:r>
      <w:r w:rsidR="00460349" w:rsidRPr="009B2CA6">
        <w:rPr>
          <w:rFonts w:ascii="Verdana" w:hAnsi="Verdana" w:cs="Times New Roman"/>
          <w:sz w:val="20"/>
          <w:szCs w:val="20"/>
        </w:rPr>
        <w:t xml:space="preserve"> sistema de resolución de disputas inversionista-Estado.</w:t>
      </w:r>
    </w:p>
    <w:p w:rsidR="00E971BA" w:rsidRPr="009B2CA6" w:rsidRDefault="00076372"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Resulta</w:t>
      </w:r>
      <w:r w:rsidR="00566B14" w:rsidRPr="009B2CA6">
        <w:rPr>
          <w:rFonts w:ascii="Verdana" w:hAnsi="Verdana" w:cs="Times New Roman"/>
          <w:sz w:val="20"/>
          <w:szCs w:val="20"/>
        </w:rPr>
        <w:t xml:space="preserve"> significativo que el propio R</w:t>
      </w:r>
      <w:r w:rsidR="00413F8E" w:rsidRPr="009B2CA6">
        <w:rPr>
          <w:rFonts w:ascii="Verdana" w:hAnsi="Verdana" w:cs="Times New Roman"/>
          <w:sz w:val="20"/>
          <w:szCs w:val="20"/>
        </w:rPr>
        <w:t>eglamento</w:t>
      </w:r>
      <w:r w:rsidR="005C4446" w:rsidRPr="009B2CA6">
        <w:rPr>
          <w:rFonts w:ascii="Verdana" w:hAnsi="Verdana" w:cs="Times New Roman"/>
          <w:sz w:val="20"/>
          <w:szCs w:val="20"/>
        </w:rPr>
        <w:t xml:space="preserve"> establezca una relación </w:t>
      </w:r>
      <w:r w:rsidR="005C4446" w:rsidRPr="009B2CA6">
        <w:rPr>
          <w:rFonts w:ascii="Verdana" w:hAnsi="Verdana" w:cs="Times New Roman"/>
          <w:i/>
          <w:sz w:val="20"/>
          <w:szCs w:val="20"/>
        </w:rPr>
        <w:t>numerus c</w:t>
      </w:r>
      <w:r w:rsidR="006F489D" w:rsidRPr="009B2CA6">
        <w:rPr>
          <w:rFonts w:ascii="Verdana" w:hAnsi="Verdana" w:cs="Times New Roman"/>
          <w:i/>
          <w:sz w:val="20"/>
          <w:szCs w:val="20"/>
        </w:rPr>
        <w:t>l</w:t>
      </w:r>
      <w:r w:rsidR="005C4446" w:rsidRPr="009B2CA6">
        <w:rPr>
          <w:rFonts w:ascii="Verdana" w:hAnsi="Verdana" w:cs="Times New Roman"/>
          <w:i/>
          <w:sz w:val="20"/>
          <w:szCs w:val="20"/>
        </w:rPr>
        <w:t>ausus</w:t>
      </w:r>
      <w:r w:rsidR="000149E7" w:rsidRPr="009B2CA6">
        <w:rPr>
          <w:rFonts w:ascii="Verdana" w:hAnsi="Verdana" w:cs="Times New Roman"/>
          <w:sz w:val="20"/>
          <w:szCs w:val="20"/>
        </w:rPr>
        <w:t xml:space="preserve"> </w:t>
      </w:r>
      <w:r w:rsidR="00413F8E" w:rsidRPr="009B2CA6">
        <w:rPr>
          <w:rFonts w:ascii="Verdana" w:hAnsi="Verdana" w:cs="Times New Roman"/>
          <w:sz w:val="20"/>
          <w:szCs w:val="20"/>
        </w:rPr>
        <w:t>de las formas a través de las cuales el tribunal arbitral puede ejercer discrecionalidad durante el procedimiento,</w:t>
      </w:r>
      <w:r w:rsidR="000149E7" w:rsidRPr="009B2CA6">
        <w:rPr>
          <w:rFonts w:ascii="Verdana" w:hAnsi="Verdana" w:cs="Times New Roman"/>
          <w:sz w:val="20"/>
          <w:szCs w:val="20"/>
        </w:rPr>
        <w:t xml:space="preserve"> reconociendo</w:t>
      </w:r>
      <w:r w:rsidR="001715E7" w:rsidRPr="009B2CA6">
        <w:rPr>
          <w:rFonts w:ascii="Verdana" w:hAnsi="Verdana" w:cs="Times New Roman"/>
          <w:sz w:val="20"/>
          <w:szCs w:val="20"/>
        </w:rPr>
        <w:t xml:space="preserve"> como primera</w:t>
      </w:r>
      <w:r w:rsidR="00664B3B" w:rsidRPr="009B2CA6">
        <w:rPr>
          <w:rFonts w:ascii="Verdana" w:hAnsi="Verdana" w:cs="Times New Roman"/>
          <w:sz w:val="20"/>
          <w:szCs w:val="20"/>
        </w:rPr>
        <w:t xml:space="preserve"> de ellas y</w:t>
      </w:r>
      <w:r w:rsidR="00016925" w:rsidRPr="009B2CA6">
        <w:rPr>
          <w:rFonts w:ascii="Verdana" w:hAnsi="Verdana" w:cs="Times New Roman"/>
          <w:sz w:val="20"/>
          <w:szCs w:val="20"/>
        </w:rPr>
        <w:t xml:space="preserve"> </w:t>
      </w:r>
      <w:r w:rsidR="00D82F2D" w:rsidRPr="009B2CA6">
        <w:rPr>
          <w:rFonts w:ascii="Verdana" w:hAnsi="Verdana" w:cs="Times New Roman"/>
          <w:sz w:val="20"/>
          <w:szCs w:val="20"/>
        </w:rPr>
        <w:t>sobreponiéndose a</w:t>
      </w:r>
      <w:r w:rsidR="000149E7" w:rsidRPr="009B2CA6">
        <w:rPr>
          <w:rFonts w:ascii="Verdana" w:hAnsi="Verdana" w:cs="Times New Roman"/>
          <w:sz w:val="20"/>
          <w:szCs w:val="20"/>
        </w:rPr>
        <w:t>l inter</w:t>
      </w:r>
      <w:r w:rsidR="00FC4702" w:rsidRPr="009B2CA6">
        <w:rPr>
          <w:rFonts w:ascii="Verdana" w:hAnsi="Verdana" w:cs="Times New Roman"/>
          <w:sz w:val="20"/>
          <w:szCs w:val="20"/>
        </w:rPr>
        <w:t>és particular de las partes</w:t>
      </w:r>
      <w:r w:rsidR="005117FA" w:rsidRPr="009B2CA6">
        <w:rPr>
          <w:rFonts w:ascii="Verdana" w:hAnsi="Verdana" w:cs="Times New Roman"/>
          <w:sz w:val="20"/>
          <w:szCs w:val="20"/>
        </w:rPr>
        <w:t>,</w:t>
      </w:r>
      <w:r w:rsidR="000149E7" w:rsidRPr="009B2CA6">
        <w:rPr>
          <w:rFonts w:ascii="Verdana" w:hAnsi="Verdana" w:cs="Times New Roman"/>
          <w:sz w:val="20"/>
          <w:szCs w:val="20"/>
        </w:rPr>
        <w:t xml:space="preserve"> </w:t>
      </w:r>
      <w:r w:rsidR="00413F8E" w:rsidRPr="009B2CA6">
        <w:rPr>
          <w:rFonts w:ascii="Verdana" w:hAnsi="Verdana" w:cs="Times New Roman"/>
          <w:sz w:val="20"/>
          <w:szCs w:val="20"/>
        </w:rPr>
        <w:t>el interés público en la</w:t>
      </w:r>
      <w:r w:rsidR="000B40C6" w:rsidRPr="009B2CA6">
        <w:rPr>
          <w:rFonts w:ascii="Verdana" w:hAnsi="Verdana" w:cs="Times New Roman"/>
          <w:sz w:val="20"/>
          <w:szCs w:val="20"/>
        </w:rPr>
        <w:t xml:space="preserve"> transparencia del arbitraje</w:t>
      </w:r>
      <w:r w:rsidR="00413F8E" w:rsidRPr="009B2CA6">
        <w:rPr>
          <w:rFonts w:ascii="Verdana" w:hAnsi="Verdana" w:cs="Times New Roman"/>
          <w:sz w:val="20"/>
          <w:szCs w:val="20"/>
        </w:rPr>
        <w:t xml:space="preserve"> inversionista</w:t>
      </w:r>
      <w:r w:rsidR="000149E7" w:rsidRPr="009B2CA6">
        <w:rPr>
          <w:rFonts w:ascii="Verdana" w:hAnsi="Verdana" w:cs="Times New Roman"/>
          <w:sz w:val="20"/>
          <w:szCs w:val="20"/>
        </w:rPr>
        <w:t>-Estado</w:t>
      </w:r>
      <w:r w:rsidR="00F86B8C" w:rsidRPr="009B2CA6">
        <w:rPr>
          <w:rStyle w:val="Refdenotaalpie"/>
          <w:rFonts w:ascii="Verdana" w:hAnsi="Verdana" w:cs="Times New Roman"/>
          <w:sz w:val="20"/>
          <w:szCs w:val="20"/>
        </w:rPr>
        <w:footnoteReference w:id="56"/>
      </w:r>
      <w:r w:rsidR="00CA4E6E">
        <w:rPr>
          <w:rFonts w:ascii="Verdana" w:hAnsi="Verdana" w:cs="Times New Roman"/>
          <w:sz w:val="20"/>
          <w:szCs w:val="20"/>
        </w:rPr>
        <w:t>,</w:t>
      </w:r>
      <w:r w:rsidR="00413F8E" w:rsidRPr="009B2CA6">
        <w:rPr>
          <w:rFonts w:ascii="Verdana" w:hAnsi="Verdana" w:cs="Times New Roman"/>
          <w:sz w:val="20"/>
          <w:szCs w:val="20"/>
        </w:rPr>
        <w:t xml:space="preserve"> y </w:t>
      </w:r>
      <w:r w:rsidR="00E16A31" w:rsidRPr="009B2CA6">
        <w:rPr>
          <w:rFonts w:ascii="Verdana" w:hAnsi="Verdana" w:cs="Times New Roman"/>
          <w:sz w:val="20"/>
          <w:szCs w:val="20"/>
        </w:rPr>
        <w:t xml:space="preserve">la </w:t>
      </w:r>
      <w:r w:rsidR="00413F8E" w:rsidRPr="009B2CA6">
        <w:rPr>
          <w:rFonts w:ascii="Verdana" w:hAnsi="Verdana" w:cs="Times New Roman"/>
          <w:sz w:val="20"/>
          <w:szCs w:val="20"/>
        </w:rPr>
        <w:t>del procedimiento arbitral en particular</w:t>
      </w:r>
      <w:r w:rsidR="001715E7" w:rsidRPr="009B2CA6">
        <w:rPr>
          <w:rFonts w:ascii="Verdana" w:hAnsi="Verdana" w:cs="Times New Roman"/>
          <w:sz w:val="20"/>
          <w:szCs w:val="20"/>
        </w:rPr>
        <w:t xml:space="preserve">. </w:t>
      </w:r>
    </w:p>
    <w:p w:rsidR="005C4446" w:rsidRPr="009B2CA6" w:rsidRDefault="0067609A"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Como se ve, el </w:t>
      </w:r>
      <w:r w:rsidR="00AD352A" w:rsidRPr="009B2CA6">
        <w:rPr>
          <w:rFonts w:ascii="Verdana" w:hAnsi="Verdana" w:cs="Times New Roman"/>
          <w:sz w:val="20"/>
          <w:szCs w:val="20"/>
        </w:rPr>
        <w:t>precepto</w:t>
      </w:r>
      <w:r w:rsidRPr="009B2CA6">
        <w:rPr>
          <w:rFonts w:ascii="Verdana" w:hAnsi="Verdana" w:cs="Times New Roman"/>
          <w:sz w:val="20"/>
          <w:szCs w:val="20"/>
        </w:rPr>
        <w:t xml:space="preserve"> establece </w:t>
      </w:r>
      <w:r w:rsidR="001801D8" w:rsidRPr="009B2CA6">
        <w:rPr>
          <w:rFonts w:ascii="Verdana" w:hAnsi="Verdana" w:cs="Times New Roman"/>
          <w:sz w:val="20"/>
          <w:szCs w:val="20"/>
        </w:rPr>
        <w:t xml:space="preserve">la </w:t>
      </w:r>
      <w:r w:rsidRPr="009B2CA6">
        <w:rPr>
          <w:rFonts w:ascii="Verdana" w:hAnsi="Verdana" w:cs="Times New Roman"/>
          <w:sz w:val="20"/>
          <w:szCs w:val="20"/>
        </w:rPr>
        <w:t xml:space="preserve">prevalencia </w:t>
      </w:r>
      <w:r w:rsidR="001801D8" w:rsidRPr="009B2CA6">
        <w:rPr>
          <w:rFonts w:ascii="Verdana" w:hAnsi="Verdana" w:cs="Times New Roman"/>
          <w:sz w:val="20"/>
          <w:szCs w:val="20"/>
        </w:rPr>
        <w:t xml:space="preserve">del interés público </w:t>
      </w:r>
      <w:r w:rsidR="00841A35" w:rsidRPr="009B2CA6">
        <w:rPr>
          <w:rFonts w:ascii="Verdana" w:hAnsi="Verdana" w:cs="Times New Roman"/>
          <w:sz w:val="20"/>
          <w:szCs w:val="20"/>
        </w:rPr>
        <w:t xml:space="preserve">presente en el arbitraje inversionista-Estado </w:t>
      </w:r>
      <w:r w:rsidRPr="009B2CA6">
        <w:rPr>
          <w:rFonts w:ascii="Verdana" w:hAnsi="Verdana" w:cs="Times New Roman"/>
          <w:sz w:val="20"/>
          <w:szCs w:val="20"/>
        </w:rPr>
        <w:t xml:space="preserve">sobre </w:t>
      </w:r>
      <w:r w:rsidR="001801D8" w:rsidRPr="009B2CA6">
        <w:rPr>
          <w:rFonts w:ascii="Verdana" w:hAnsi="Verdana" w:cs="Times New Roman"/>
          <w:sz w:val="20"/>
          <w:szCs w:val="20"/>
        </w:rPr>
        <w:t xml:space="preserve">el interés particular de las partes litigantes en la controversia. Sin embargo, </w:t>
      </w:r>
      <w:r w:rsidR="00D068AC" w:rsidRPr="009B2CA6">
        <w:rPr>
          <w:rFonts w:ascii="Verdana" w:hAnsi="Verdana" w:cs="Times New Roman"/>
          <w:sz w:val="20"/>
          <w:szCs w:val="20"/>
        </w:rPr>
        <w:t>inmedia</w:t>
      </w:r>
      <w:r w:rsidRPr="009B2CA6">
        <w:rPr>
          <w:rFonts w:ascii="Verdana" w:hAnsi="Verdana" w:cs="Times New Roman"/>
          <w:sz w:val="20"/>
          <w:szCs w:val="20"/>
        </w:rPr>
        <w:t xml:space="preserve">tamente surge el interrogante de hasta qué punto el propio </w:t>
      </w:r>
      <w:r w:rsidR="001801D8" w:rsidRPr="009B2CA6">
        <w:rPr>
          <w:rFonts w:ascii="Verdana" w:hAnsi="Verdana" w:cs="Times New Roman"/>
          <w:sz w:val="20"/>
          <w:szCs w:val="20"/>
        </w:rPr>
        <w:t>interés de las partes en lograr una resolución justa y eficiente</w:t>
      </w:r>
      <w:r w:rsidRPr="009B2CA6">
        <w:rPr>
          <w:rFonts w:ascii="Verdana" w:hAnsi="Verdana" w:cs="Times New Roman"/>
          <w:sz w:val="20"/>
          <w:szCs w:val="20"/>
        </w:rPr>
        <w:t xml:space="preserve"> en el arbitraje de inversiones</w:t>
      </w:r>
      <w:r w:rsidR="001801D8" w:rsidRPr="009B2CA6">
        <w:rPr>
          <w:rFonts w:ascii="Verdana" w:hAnsi="Verdana" w:cs="Times New Roman"/>
          <w:sz w:val="20"/>
          <w:szCs w:val="20"/>
        </w:rPr>
        <w:t xml:space="preserve"> no </w:t>
      </w:r>
      <w:r w:rsidRPr="009B2CA6">
        <w:rPr>
          <w:rFonts w:ascii="Verdana" w:hAnsi="Verdana" w:cs="Times New Roman"/>
          <w:sz w:val="20"/>
          <w:szCs w:val="20"/>
        </w:rPr>
        <w:t xml:space="preserve">forma parte también del </w:t>
      </w:r>
      <w:r w:rsidR="001801D8" w:rsidRPr="009B2CA6">
        <w:rPr>
          <w:rFonts w:ascii="Verdana" w:hAnsi="Verdana" w:cs="Times New Roman"/>
          <w:sz w:val="20"/>
          <w:szCs w:val="20"/>
        </w:rPr>
        <w:t>interés público</w:t>
      </w:r>
      <w:r w:rsidRPr="009B2CA6">
        <w:rPr>
          <w:rFonts w:ascii="Verdana" w:hAnsi="Verdana" w:cs="Times New Roman"/>
          <w:sz w:val="20"/>
          <w:szCs w:val="20"/>
        </w:rPr>
        <w:t>.</w:t>
      </w:r>
      <w:r w:rsidR="001801D8" w:rsidRPr="009B2CA6">
        <w:rPr>
          <w:rFonts w:ascii="Verdana" w:hAnsi="Verdana" w:cs="Times New Roman"/>
          <w:sz w:val="20"/>
          <w:szCs w:val="20"/>
        </w:rPr>
        <w:t xml:space="preserve"> En este sentido, </w:t>
      </w:r>
      <w:r w:rsidRPr="009B2CA6">
        <w:rPr>
          <w:rFonts w:ascii="Verdana" w:hAnsi="Verdana" w:cs="Times New Roman"/>
          <w:sz w:val="20"/>
          <w:szCs w:val="20"/>
        </w:rPr>
        <w:t xml:space="preserve">coincido </w:t>
      </w:r>
      <w:r w:rsidR="00841A35" w:rsidRPr="009B2CA6">
        <w:rPr>
          <w:rFonts w:ascii="Verdana" w:hAnsi="Verdana" w:cs="Times New Roman"/>
          <w:sz w:val="20"/>
          <w:szCs w:val="20"/>
        </w:rPr>
        <w:t xml:space="preserve">con </w:t>
      </w:r>
      <w:r w:rsidRPr="009B2CA6">
        <w:rPr>
          <w:rFonts w:ascii="Verdana" w:hAnsi="Verdana" w:cs="Times New Roman"/>
          <w:sz w:val="20"/>
          <w:szCs w:val="20"/>
        </w:rPr>
        <w:t>parte de la doctrina</w:t>
      </w:r>
      <w:r w:rsidR="000B40C6" w:rsidRPr="009B2CA6">
        <w:rPr>
          <w:rStyle w:val="Refdenotaalpie"/>
          <w:rFonts w:ascii="Verdana" w:hAnsi="Verdana" w:cs="Times New Roman"/>
          <w:sz w:val="20"/>
          <w:szCs w:val="20"/>
        </w:rPr>
        <w:footnoteReference w:id="57"/>
      </w:r>
      <w:r w:rsidRPr="009B2CA6">
        <w:rPr>
          <w:rFonts w:ascii="Verdana" w:hAnsi="Verdana" w:cs="Times New Roman"/>
          <w:sz w:val="20"/>
          <w:szCs w:val="20"/>
        </w:rPr>
        <w:t xml:space="preserve"> en que, en efecto, la protección y la tutela de los inversionistas no puede </w:t>
      </w:r>
      <w:r w:rsidR="00FC5D3E" w:rsidRPr="009B2CA6">
        <w:rPr>
          <w:rFonts w:ascii="Verdana" w:hAnsi="Verdana" w:cs="Times New Roman"/>
          <w:sz w:val="20"/>
          <w:szCs w:val="20"/>
        </w:rPr>
        <w:t xml:space="preserve">disociarse </w:t>
      </w:r>
      <w:r w:rsidRPr="009B2CA6">
        <w:rPr>
          <w:rFonts w:ascii="Verdana" w:hAnsi="Verdana" w:cs="Times New Roman"/>
          <w:sz w:val="20"/>
          <w:szCs w:val="20"/>
        </w:rPr>
        <w:t>de dicho interés público, entre otros motivos</w:t>
      </w:r>
      <w:r w:rsidR="00FC5D3E" w:rsidRPr="009B2CA6">
        <w:rPr>
          <w:rFonts w:ascii="Verdana" w:hAnsi="Verdana" w:cs="Times New Roman"/>
          <w:sz w:val="20"/>
          <w:szCs w:val="20"/>
        </w:rPr>
        <w:t xml:space="preserve"> y sobre todo</w:t>
      </w:r>
      <w:r w:rsidRPr="009B2CA6">
        <w:rPr>
          <w:rFonts w:ascii="Verdana" w:hAnsi="Verdana" w:cs="Times New Roman"/>
          <w:sz w:val="20"/>
          <w:szCs w:val="20"/>
        </w:rPr>
        <w:t>, porque la afluencia de la inversión extranjera y la generaci</w:t>
      </w:r>
      <w:r w:rsidR="00FC5D3E" w:rsidRPr="009B2CA6">
        <w:rPr>
          <w:rFonts w:ascii="Verdana" w:hAnsi="Verdana" w:cs="Times New Roman"/>
          <w:sz w:val="20"/>
          <w:szCs w:val="20"/>
        </w:rPr>
        <w:t>ón de confianza</w:t>
      </w:r>
      <w:r w:rsidRPr="009B2CA6">
        <w:rPr>
          <w:rFonts w:ascii="Verdana" w:hAnsi="Verdana" w:cs="Times New Roman"/>
          <w:sz w:val="20"/>
          <w:szCs w:val="20"/>
        </w:rPr>
        <w:t xml:space="preserve"> en</w:t>
      </w:r>
      <w:r w:rsidR="00FC5D3E" w:rsidRPr="009B2CA6">
        <w:rPr>
          <w:rFonts w:ascii="Verdana" w:hAnsi="Verdana" w:cs="Times New Roman"/>
          <w:sz w:val="20"/>
          <w:szCs w:val="20"/>
        </w:rPr>
        <w:t>tre</w:t>
      </w:r>
      <w:r w:rsidRPr="009B2CA6">
        <w:rPr>
          <w:rFonts w:ascii="Verdana" w:hAnsi="Verdana" w:cs="Times New Roman"/>
          <w:sz w:val="20"/>
          <w:szCs w:val="20"/>
        </w:rPr>
        <w:t xml:space="preserve"> los inversionistas </w:t>
      </w:r>
      <w:r w:rsidR="00551C1B" w:rsidRPr="009B2CA6">
        <w:rPr>
          <w:rFonts w:ascii="Verdana" w:hAnsi="Verdana" w:cs="Times New Roman"/>
          <w:sz w:val="20"/>
          <w:szCs w:val="20"/>
        </w:rPr>
        <w:t>constituyen</w:t>
      </w:r>
      <w:r w:rsidRPr="009B2CA6">
        <w:rPr>
          <w:rFonts w:ascii="Verdana" w:hAnsi="Verdana" w:cs="Times New Roman"/>
          <w:sz w:val="20"/>
          <w:szCs w:val="20"/>
        </w:rPr>
        <w:t xml:space="preserve"> un interés primordial para la economía de los Estados</w:t>
      </w:r>
      <w:r w:rsidR="001801D8" w:rsidRPr="009B2CA6">
        <w:rPr>
          <w:rFonts w:ascii="Verdana" w:hAnsi="Verdana" w:cs="Times New Roman"/>
          <w:sz w:val="20"/>
          <w:szCs w:val="20"/>
        </w:rPr>
        <w:t xml:space="preserve">. </w:t>
      </w:r>
      <w:r w:rsidR="000B40C6" w:rsidRPr="009B2CA6">
        <w:rPr>
          <w:rFonts w:ascii="Verdana" w:hAnsi="Verdana" w:cs="Times New Roman"/>
          <w:sz w:val="20"/>
          <w:szCs w:val="20"/>
        </w:rPr>
        <w:t xml:space="preserve"> </w:t>
      </w:r>
    </w:p>
    <w:p w:rsidR="00A26B12" w:rsidRPr="009B2CA6" w:rsidRDefault="00016925"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El R</w:t>
      </w:r>
      <w:r w:rsidR="00393151" w:rsidRPr="009B2CA6">
        <w:rPr>
          <w:rFonts w:ascii="Verdana" w:hAnsi="Verdana" w:cs="Times New Roman"/>
          <w:sz w:val="20"/>
          <w:szCs w:val="20"/>
        </w:rPr>
        <w:t>eglamento</w:t>
      </w:r>
      <w:r w:rsidR="00AD352A" w:rsidRPr="009B2CA6">
        <w:rPr>
          <w:rFonts w:ascii="Verdana" w:hAnsi="Verdana" w:cs="Times New Roman"/>
          <w:sz w:val="20"/>
          <w:szCs w:val="20"/>
        </w:rPr>
        <w:t>,</w:t>
      </w:r>
      <w:r w:rsidR="00393151" w:rsidRPr="009B2CA6">
        <w:rPr>
          <w:rFonts w:ascii="Verdana" w:hAnsi="Verdana" w:cs="Times New Roman"/>
          <w:sz w:val="20"/>
          <w:szCs w:val="20"/>
        </w:rPr>
        <w:t xml:space="preserve"> </w:t>
      </w:r>
      <w:r w:rsidR="000C10AC" w:rsidRPr="009B2CA6">
        <w:rPr>
          <w:rFonts w:ascii="Verdana" w:hAnsi="Verdana" w:cs="Times New Roman"/>
          <w:sz w:val="20"/>
          <w:szCs w:val="20"/>
        </w:rPr>
        <w:t>más allá de regular la discrecionalidad con que d</w:t>
      </w:r>
      <w:r w:rsidR="00AD352A" w:rsidRPr="009B2CA6">
        <w:rPr>
          <w:rFonts w:ascii="Verdana" w:hAnsi="Verdana" w:cs="Times New Roman"/>
          <w:sz w:val="20"/>
          <w:szCs w:val="20"/>
        </w:rPr>
        <w:t>ebe actuar el tribunal arbitral,</w:t>
      </w:r>
      <w:r w:rsidR="000C10AC" w:rsidRPr="009B2CA6">
        <w:rPr>
          <w:rFonts w:ascii="Verdana" w:hAnsi="Verdana" w:cs="Times New Roman"/>
          <w:sz w:val="20"/>
          <w:szCs w:val="20"/>
        </w:rPr>
        <w:t xml:space="preserve"> </w:t>
      </w:r>
      <w:r w:rsidR="00AD352A" w:rsidRPr="009B2CA6">
        <w:rPr>
          <w:rFonts w:ascii="Verdana" w:hAnsi="Verdana" w:cs="Times New Roman"/>
          <w:sz w:val="20"/>
          <w:szCs w:val="20"/>
        </w:rPr>
        <w:t>t</w:t>
      </w:r>
      <w:r w:rsidR="000C10AC" w:rsidRPr="009B2CA6">
        <w:rPr>
          <w:rFonts w:ascii="Verdana" w:hAnsi="Verdana" w:cs="Times New Roman"/>
          <w:sz w:val="20"/>
          <w:szCs w:val="20"/>
        </w:rPr>
        <w:t>ambién establece la autoridad del tribunal para permitir o exigir la transparencia en los arbitrajes de la CN</w:t>
      </w:r>
      <w:r w:rsidR="001C7714" w:rsidRPr="009B2CA6">
        <w:rPr>
          <w:rFonts w:ascii="Verdana" w:hAnsi="Verdana" w:cs="Times New Roman"/>
          <w:sz w:val="20"/>
          <w:szCs w:val="20"/>
        </w:rPr>
        <w:t>UDMI que no utili</w:t>
      </w:r>
      <w:r w:rsidR="000B3B4C" w:rsidRPr="009B2CA6">
        <w:rPr>
          <w:rFonts w:ascii="Verdana" w:hAnsi="Verdana" w:cs="Times New Roman"/>
          <w:sz w:val="20"/>
          <w:szCs w:val="20"/>
        </w:rPr>
        <w:t>cen las reglas de transparencia</w:t>
      </w:r>
      <w:r w:rsidR="001C7714" w:rsidRPr="009B2CA6">
        <w:rPr>
          <w:rFonts w:ascii="Verdana" w:hAnsi="Verdana" w:cs="Times New Roman"/>
          <w:sz w:val="20"/>
          <w:szCs w:val="20"/>
        </w:rPr>
        <w:t xml:space="preserve"> del presente</w:t>
      </w:r>
      <w:r w:rsidR="000C10AC" w:rsidRPr="009B2CA6">
        <w:rPr>
          <w:rFonts w:ascii="Verdana" w:hAnsi="Verdana" w:cs="Times New Roman"/>
          <w:sz w:val="20"/>
          <w:szCs w:val="20"/>
        </w:rPr>
        <w:t xml:space="preserve"> </w:t>
      </w:r>
      <w:r w:rsidR="001C7714" w:rsidRPr="009B2CA6">
        <w:rPr>
          <w:rFonts w:ascii="Verdana" w:hAnsi="Verdana" w:cs="Times New Roman"/>
          <w:sz w:val="20"/>
          <w:szCs w:val="20"/>
        </w:rPr>
        <w:t>R</w:t>
      </w:r>
      <w:r w:rsidR="000C10AC" w:rsidRPr="009B2CA6">
        <w:rPr>
          <w:rFonts w:ascii="Verdana" w:hAnsi="Verdana" w:cs="Times New Roman"/>
          <w:sz w:val="20"/>
          <w:szCs w:val="20"/>
        </w:rPr>
        <w:t>eglamento</w:t>
      </w:r>
      <w:r w:rsidR="000C10AC" w:rsidRPr="009B2CA6">
        <w:rPr>
          <w:rStyle w:val="Refdenotaalpie"/>
          <w:rFonts w:ascii="Verdana" w:hAnsi="Verdana" w:cs="Times New Roman"/>
          <w:sz w:val="20"/>
          <w:szCs w:val="20"/>
        </w:rPr>
        <w:footnoteReference w:id="58"/>
      </w:r>
      <w:r w:rsidR="000C10AC" w:rsidRPr="009B2CA6">
        <w:rPr>
          <w:rFonts w:ascii="Verdana" w:hAnsi="Verdana" w:cs="Times New Roman"/>
          <w:sz w:val="20"/>
          <w:szCs w:val="20"/>
        </w:rPr>
        <w:t xml:space="preserve">. En este sentido, </w:t>
      </w:r>
      <w:r w:rsidR="00BC5B12" w:rsidRPr="009B2CA6">
        <w:rPr>
          <w:rFonts w:ascii="Verdana" w:hAnsi="Verdana" w:cs="Times New Roman"/>
          <w:sz w:val="20"/>
          <w:szCs w:val="20"/>
        </w:rPr>
        <w:t xml:space="preserve">se pretende que </w:t>
      </w:r>
      <w:r w:rsidR="00A26B12" w:rsidRPr="009B2CA6">
        <w:rPr>
          <w:rFonts w:ascii="Verdana" w:hAnsi="Verdana" w:cs="Times New Roman"/>
          <w:sz w:val="20"/>
          <w:szCs w:val="20"/>
        </w:rPr>
        <w:t xml:space="preserve">el </w:t>
      </w:r>
      <w:r w:rsidRPr="009B2CA6">
        <w:rPr>
          <w:rFonts w:ascii="Verdana" w:hAnsi="Verdana" w:cs="Times New Roman"/>
          <w:sz w:val="20"/>
          <w:szCs w:val="20"/>
        </w:rPr>
        <w:t>R</w:t>
      </w:r>
      <w:r w:rsidR="00D77CAE" w:rsidRPr="009B2CA6">
        <w:rPr>
          <w:rFonts w:ascii="Verdana" w:hAnsi="Verdana" w:cs="Times New Roman"/>
          <w:sz w:val="20"/>
          <w:szCs w:val="20"/>
        </w:rPr>
        <w:t>eglamento p</w:t>
      </w:r>
      <w:r w:rsidR="00BC5B12" w:rsidRPr="009B2CA6">
        <w:rPr>
          <w:rFonts w:ascii="Verdana" w:hAnsi="Verdana" w:cs="Times New Roman"/>
          <w:sz w:val="20"/>
          <w:szCs w:val="20"/>
        </w:rPr>
        <w:t>ueda</w:t>
      </w:r>
      <w:r w:rsidR="00D77CAE" w:rsidRPr="009B2CA6">
        <w:rPr>
          <w:rFonts w:ascii="Verdana" w:hAnsi="Verdana" w:cs="Times New Roman"/>
          <w:sz w:val="20"/>
          <w:szCs w:val="20"/>
        </w:rPr>
        <w:t xml:space="preserve"> ser asumido por el ma</w:t>
      </w:r>
      <w:r w:rsidR="000B40C6" w:rsidRPr="009B2CA6">
        <w:rPr>
          <w:rFonts w:ascii="Verdana" w:hAnsi="Verdana" w:cs="Times New Roman"/>
          <w:sz w:val="20"/>
          <w:szCs w:val="20"/>
        </w:rPr>
        <w:t>yor número de arbitraje</w:t>
      </w:r>
      <w:r w:rsidR="00551C1B" w:rsidRPr="009B2CA6">
        <w:rPr>
          <w:rFonts w:ascii="Verdana" w:hAnsi="Verdana" w:cs="Times New Roman"/>
          <w:sz w:val="20"/>
          <w:szCs w:val="20"/>
        </w:rPr>
        <w:t>s</w:t>
      </w:r>
      <w:r w:rsidR="00D77CAE" w:rsidRPr="009B2CA6">
        <w:rPr>
          <w:rFonts w:ascii="Verdana" w:hAnsi="Verdana" w:cs="Times New Roman"/>
          <w:sz w:val="20"/>
          <w:szCs w:val="20"/>
        </w:rPr>
        <w:t xml:space="preserve"> y de esta forma</w:t>
      </w:r>
      <w:r w:rsidR="00ED7BE2" w:rsidRPr="009B2CA6">
        <w:rPr>
          <w:rFonts w:ascii="Verdana" w:hAnsi="Verdana" w:cs="Times New Roman"/>
          <w:sz w:val="20"/>
          <w:szCs w:val="20"/>
        </w:rPr>
        <w:t xml:space="preserve"> contrarrestar cualquier posible presunción contra la transparencia</w:t>
      </w:r>
      <w:r w:rsidR="00D77CAE" w:rsidRPr="009B2CA6">
        <w:rPr>
          <w:rStyle w:val="Refdenotaalpie"/>
          <w:rFonts w:ascii="Verdana" w:hAnsi="Verdana" w:cs="Times New Roman"/>
          <w:sz w:val="20"/>
          <w:szCs w:val="20"/>
        </w:rPr>
        <w:footnoteReference w:id="59"/>
      </w:r>
      <w:r w:rsidR="00551C1B" w:rsidRPr="009B2CA6">
        <w:rPr>
          <w:rFonts w:ascii="Verdana" w:hAnsi="Verdana" w:cs="Times New Roman"/>
          <w:sz w:val="20"/>
          <w:szCs w:val="20"/>
        </w:rPr>
        <w:t>.</w:t>
      </w:r>
      <w:r w:rsidR="00BC5B12" w:rsidRPr="009B2CA6">
        <w:rPr>
          <w:rFonts w:ascii="Verdana" w:hAnsi="Verdana" w:cs="Times New Roman"/>
          <w:sz w:val="20"/>
          <w:szCs w:val="20"/>
        </w:rPr>
        <w:t xml:space="preserve"> </w:t>
      </w:r>
      <w:r w:rsidR="00551C1B" w:rsidRPr="009B2CA6">
        <w:rPr>
          <w:rFonts w:ascii="Verdana" w:hAnsi="Verdana" w:cs="Times New Roman"/>
          <w:sz w:val="20"/>
          <w:szCs w:val="20"/>
        </w:rPr>
        <w:t>T</w:t>
      </w:r>
      <w:r w:rsidR="00F27CE1" w:rsidRPr="009B2CA6">
        <w:rPr>
          <w:rFonts w:ascii="Verdana" w:hAnsi="Verdana" w:cs="Times New Roman"/>
          <w:sz w:val="20"/>
          <w:szCs w:val="20"/>
        </w:rPr>
        <w:t>anto es así que f</w:t>
      </w:r>
      <w:r w:rsidR="000B3B4C" w:rsidRPr="009B2CA6">
        <w:rPr>
          <w:rFonts w:ascii="Verdana" w:hAnsi="Verdana" w:cs="Times New Roman"/>
          <w:sz w:val="20"/>
          <w:szCs w:val="20"/>
        </w:rPr>
        <w:t>aculta al tribunal para admitir</w:t>
      </w:r>
      <w:r w:rsidR="00EA6AB7" w:rsidRPr="009B2CA6">
        <w:rPr>
          <w:rFonts w:ascii="Verdana" w:hAnsi="Verdana" w:cs="Times New Roman"/>
          <w:sz w:val="20"/>
          <w:szCs w:val="20"/>
        </w:rPr>
        <w:t xml:space="preserve"> </w:t>
      </w:r>
      <w:r w:rsidR="00F27CE1" w:rsidRPr="009B2CA6">
        <w:rPr>
          <w:rFonts w:ascii="Verdana" w:hAnsi="Verdana" w:cs="Times New Roman"/>
          <w:sz w:val="20"/>
          <w:szCs w:val="20"/>
        </w:rPr>
        <w:t>escritos presentados por terceros</w:t>
      </w:r>
      <w:r w:rsidR="00104D1C" w:rsidRPr="009B2CA6">
        <w:rPr>
          <w:rFonts w:ascii="Verdana" w:hAnsi="Verdana" w:cs="Times New Roman"/>
          <w:sz w:val="20"/>
          <w:szCs w:val="20"/>
        </w:rPr>
        <w:t xml:space="preserve"> </w:t>
      </w:r>
      <w:r w:rsidR="007536B8" w:rsidRPr="009B2CA6">
        <w:rPr>
          <w:rFonts w:ascii="Verdana" w:hAnsi="Verdana" w:cs="Times New Roman"/>
          <w:sz w:val="20"/>
          <w:szCs w:val="20"/>
        </w:rPr>
        <w:t xml:space="preserve">interesados </w:t>
      </w:r>
      <w:r w:rsidR="00104D1C" w:rsidRPr="009B2CA6">
        <w:rPr>
          <w:rFonts w:ascii="Verdana" w:hAnsi="Verdana" w:cs="Times New Roman"/>
          <w:sz w:val="20"/>
          <w:szCs w:val="20"/>
        </w:rPr>
        <w:t>ajenos a la controversia</w:t>
      </w:r>
      <w:r w:rsidR="000B3B4C" w:rsidRPr="009B2CA6">
        <w:rPr>
          <w:rFonts w:ascii="Verdana" w:hAnsi="Verdana" w:cs="Times New Roman"/>
          <w:sz w:val="20"/>
          <w:szCs w:val="20"/>
        </w:rPr>
        <w:t>.</w:t>
      </w:r>
      <w:r w:rsidR="00BC5B12" w:rsidRPr="009B2CA6">
        <w:rPr>
          <w:rFonts w:ascii="Verdana" w:hAnsi="Verdana" w:cs="Times New Roman"/>
          <w:sz w:val="20"/>
          <w:szCs w:val="20"/>
        </w:rPr>
        <w:t xml:space="preserve"> </w:t>
      </w:r>
    </w:p>
    <w:p w:rsidR="003511EF" w:rsidRPr="009B2CA6" w:rsidRDefault="00B5272C"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Me p</w:t>
      </w:r>
      <w:r w:rsidR="005C303B" w:rsidRPr="009B2CA6">
        <w:rPr>
          <w:rFonts w:ascii="Verdana" w:hAnsi="Verdana" w:cs="Times New Roman"/>
          <w:sz w:val="20"/>
          <w:szCs w:val="20"/>
        </w:rPr>
        <w:t>arece</w:t>
      </w:r>
      <w:r w:rsidR="005758A0" w:rsidRPr="009B2CA6">
        <w:rPr>
          <w:rFonts w:ascii="Verdana" w:hAnsi="Verdana" w:cs="Times New Roman"/>
          <w:sz w:val="20"/>
          <w:szCs w:val="20"/>
        </w:rPr>
        <w:t xml:space="preserve"> </w:t>
      </w:r>
      <w:r w:rsidR="00EA6AB7" w:rsidRPr="009B2CA6">
        <w:rPr>
          <w:rFonts w:ascii="Verdana" w:hAnsi="Verdana" w:cs="Times New Roman"/>
          <w:sz w:val="20"/>
          <w:szCs w:val="20"/>
        </w:rPr>
        <w:t>po</w:t>
      </w:r>
      <w:r w:rsidR="005C303B" w:rsidRPr="009B2CA6">
        <w:rPr>
          <w:rFonts w:ascii="Verdana" w:hAnsi="Verdana" w:cs="Times New Roman"/>
          <w:sz w:val="20"/>
          <w:szCs w:val="20"/>
        </w:rPr>
        <w:t xml:space="preserve">sitivo </w:t>
      </w:r>
      <w:r w:rsidR="005758A0" w:rsidRPr="009B2CA6">
        <w:rPr>
          <w:rFonts w:ascii="Verdana" w:hAnsi="Verdana" w:cs="Times New Roman"/>
          <w:sz w:val="20"/>
          <w:szCs w:val="20"/>
        </w:rPr>
        <w:t>que el</w:t>
      </w:r>
      <w:r w:rsidR="00F27CE1" w:rsidRPr="009B2CA6">
        <w:rPr>
          <w:rFonts w:ascii="Verdana" w:hAnsi="Verdana" w:cs="Times New Roman"/>
          <w:sz w:val="20"/>
          <w:szCs w:val="20"/>
        </w:rPr>
        <w:t xml:space="preserve"> Reglamento</w:t>
      </w:r>
      <w:r w:rsidR="00B53C62" w:rsidRPr="009B2CA6">
        <w:rPr>
          <w:rFonts w:ascii="Verdana" w:hAnsi="Verdana" w:cs="Times New Roman"/>
          <w:sz w:val="20"/>
          <w:szCs w:val="20"/>
        </w:rPr>
        <w:t xml:space="preserve"> </w:t>
      </w:r>
      <w:r w:rsidR="00943CE8" w:rsidRPr="009B2CA6">
        <w:rPr>
          <w:rFonts w:ascii="Verdana" w:hAnsi="Verdana" w:cs="Times New Roman"/>
          <w:sz w:val="20"/>
          <w:szCs w:val="20"/>
        </w:rPr>
        <w:t>reconozca</w:t>
      </w:r>
      <w:r w:rsidR="00F21EE4" w:rsidRPr="009B2CA6">
        <w:rPr>
          <w:rFonts w:ascii="Verdana" w:hAnsi="Verdana" w:cs="Times New Roman"/>
          <w:sz w:val="20"/>
          <w:szCs w:val="20"/>
        </w:rPr>
        <w:t xml:space="preserve"> la facultad del t</w:t>
      </w:r>
      <w:r w:rsidR="00F27CE1" w:rsidRPr="009B2CA6">
        <w:rPr>
          <w:rFonts w:ascii="Verdana" w:hAnsi="Verdana" w:cs="Times New Roman"/>
          <w:sz w:val="20"/>
          <w:szCs w:val="20"/>
        </w:rPr>
        <w:t>ribunal</w:t>
      </w:r>
      <w:r w:rsidR="00016925" w:rsidRPr="009B2CA6">
        <w:rPr>
          <w:rFonts w:ascii="Verdana" w:hAnsi="Verdana" w:cs="Times New Roman"/>
          <w:sz w:val="20"/>
          <w:szCs w:val="20"/>
        </w:rPr>
        <w:t xml:space="preserve"> </w:t>
      </w:r>
      <w:r w:rsidR="0029472C" w:rsidRPr="009B2CA6">
        <w:rPr>
          <w:rFonts w:ascii="Verdana" w:hAnsi="Verdana" w:cs="Times New Roman"/>
          <w:sz w:val="20"/>
          <w:szCs w:val="20"/>
        </w:rPr>
        <w:t xml:space="preserve">arbitral </w:t>
      </w:r>
      <w:r w:rsidR="00016925" w:rsidRPr="009B2CA6">
        <w:rPr>
          <w:rFonts w:ascii="Verdana" w:hAnsi="Verdana" w:cs="Times New Roman"/>
          <w:sz w:val="20"/>
          <w:szCs w:val="20"/>
        </w:rPr>
        <w:t xml:space="preserve">para promover la transparencia en </w:t>
      </w:r>
      <w:r w:rsidR="00B53C62" w:rsidRPr="009B2CA6">
        <w:rPr>
          <w:rFonts w:ascii="Verdana" w:hAnsi="Verdana" w:cs="Times New Roman"/>
          <w:sz w:val="20"/>
          <w:szCs w:val="20"/>
        </w:rPr>
        <w:t>los arbitrajes bajo las R</w:t>
      </w:r>
      <w:r w:rsidR="005758A0" w:rsidRPr="009B2CA6">
        <w:rPr>
          <w:rFonts w:ascii="Verdana" w:hAnsi="Verdana" w:cs="Times New Roman"/>
          <w:sz w:val="20"/>
          <w:szCs w:val="20"/>
        </w:rPr>
        <w:t>e</w:t>
      </w:r>
      <w:r w:rsidR="00943CE8" w:rsidRPr="009B2CA6">
        <w:rPr>
          <w:rFonts w:ascii="Verdana" w:hAnsi="Verdana" w:cs="Times New Roman"/>
          <w:sz w:val="20"/>
          <w:szCs w:val="20"/>
        </w:rPr>
        <w:t>glas de Arbitraje de la CNUDMI</w:t>
      </w:r>
      <w:r w:rsidR="0029472C" w:rsidRPr="009B2CA6">
        <w:rPr>
          <w:rFonts w:ascii="Verdana" w:hAnsi="Verdana" w:cs="Times New Roman"/>
          <w:sz w:val="20"/>
          <w:szCs w:val="20"/>
        </w:rPr>
        <w:t xml:space="preserve"> y</w:t>
      </w:r>
      <w:r w:rsidR="00943CE8" w:rsidRPr="009B2CA6">
        <w:rPr>
          <w:rFonts w:ascii="Verdana" w:hAnsi="Verdana" w:cs="Times New Roman"/>
          <w:sz w:val="20"/>
          <w:szCs w:val="20"/>
        </w:rPr>
        <w:t xml:space="preserve"> </w:t>
      </w:r>
      <w:r w:rsidR="00F27CE1" w:rsidRPr="009B2CA6">
        <w:rPr>
          <w:rFonts w:ascii="Verdana" w:hAnsi="Verdana" w:cs="Times New Roman"/>
          <w:sz w:val="20"/>
          <w:szCs w:val="20"/>
        </w:rPr>
        <w:t>la posibilidad que tiene el</w:t>
      </w:r>
      <w:r w:rsidR="0029472C" w:rsidRPr="009B2CA6">
        <w:rPr>
          <w:rFonts w:ascii="Verdana" w:hAnsi="Verdana" w:cs="Times New Roman"/>
          <w:sz w:val="20"/>
          <w:szCs w:val="20"/>
        </w:rPr>
        <w:t xml:space="preserve"> propio </w:t>
      </w:r>
      <w:r w:rsidR="00F21EE4" w:rsidRPr="009B2CA6">
        <w:rPr>
          <w:rFonts w:ascii="Verdana" w:hAnsi="Verdana" w:cs="Times New Roman"/>
          <w:sz w:val="20"/>
          <w:szCs w:val="20"/>
        </w:rPr>
        <w:t>t</w:t>
      </w:r>
      <w:r w:rsidR="0029472C" w:rsidRPr="009B2CA6">
        <w:rPr>
          <w:rFonts w:ascii="Verdana" w:hAnsi="Verdana" w:cs="Times New Roman"/>
          <w:sz w:val="20"/>
          <w:szCs w:val="20"/>
        </w:rPr>
        <w:t>ribunal</w:t>
      </w:r>
      <w:r w:rsidR="00943CE8" w:rsidRPr="009B2CA6">
        <w:rPr>
          <w:rFonts w:ascii="Verdana" w:hAnsi="Verdana" w:cs="Times New Roman"/>
          <w:sz w:val="20"/>
          <w:szCs w:val="20"/>
        </w:rPr>
        <w:t xml:space="preserve"> </w:t>
      </w:r>
      <w:r w:rsidR="00F27CE1" w:rsidRPr="009B2CA6">
        <w:rPr>
          <w:rFonts w:ascii="Verdana" w:hAnsi="Verdana" w:cs="Times New Roman"/>
          <w:sz w:val="20"/>
          <w:szCs w:val="20"/>
        </w:rPr>
        <w:t>de aceptar escritos de terceros que faciliten</w:t>
      </w:r>
      <w:r w:rsidR="00B53C62" w:rsidRPr="009B2CA6">
        <w:rPr>
          <w:rFonts w:ascii="Verdana" w:hAnsi="Verdana" w:cs="Times New Roman"/>
          <w:sz w:val="20"/>
          <w:szCs w:val="20"/>
        </w:rPr>
        <w:t xml:space="preserve"> o</w:t>
      </w:r>
      <w:r w:rsidR="00F27CE1" w:rsidRPr="009B2CA6">
        <w:rPr>
          <w:rFonts w:ascii="Verdana" w:hAnsi="Verdana" w:cs="Times New Roman"/>
          <w:sz w:val="20"/>
          <w:szCs w:val="20"/>
        </w:rPr>
        <w:t xml:space="preserve"> posibiliten una mayor transparencia del procedimiento</w:t>
      </w:r>
      <w:r w:rsidR="0029472C" w:rsidRPr="009B2CA6">
        <w:rPr>
          <w:rFonts w:ascii="Verdana" w:hAnsi="Verdana" w:cs="Times New Roman"/>
          <w:sz w:val="20"/>
          <w:szCs w:val="20"/>
        </w:rPr>
        <w:t xml:space="preserve">, </w:t>
      </w:r>
      <w:r w:rsidR="005C303B" w:rsidRPr="009B2CA6">
        <w:rPr>
          <w:rFonts w:ascii="Verdana" w:hAnsi="Verdana" w:cs="Times New Roman"/>
          <w:sz w:val="20"/>
          <w:szCs w:val="20"/>
        </w:rPr>
        <w:t xml:space="preserve">pues de este modo cabe mitigar los factores </w:t>
      </w:r>
      <w:r w:rsidR="00166BC3" w:rsidRPr="009B2CA6">
        <w:rPr>
          <w:rFonts w:ascii="Verdana" w:hAnsi="Verdana" w:cs="Times New Roman"/>
          <w:sz w:val="20"/>
          <w:szCs w:val="20"/>
        </w:rPr>
        <w:t xml:space="preserve">que </w:t>
      </w:r>
      <w:r w:rsidR="005C303B" w:rsidRPr="009B2CA6">
        <w:rPr>
          <w:rFonts w:ascii="Verdana" w:hAnsi="Verdana" w:cs="Times New Roman"/>
          <w:sz w:val="20"/>
          <w:szCs w:val="20"/>
        </w:rPr>
        <w:t xml:space="preserve">puedan menoscabar </w:t>
      </w:r>
      <w:r w:rsidR="00166BC3" w:rsidRPr="009B2CA6">
        <w:rPr>
          <w:rFonts w:ascii="Verdana" w:hAnsi="Verdana" w:cs="Times New Roman"/>
          <w:sz w:val="20"/>
          <w:szCs w:val="20"/>
        </w:rPr>
        <w:t>los objetiv</w:t>
      </w:r>
      <w:r w:rsidR="00F21EE4" w:rsidRPr="009B2CA6">
        <w:rPr>
          <w:rFonts w:ascii="Verdana" w:hAnsi="Verdana" w:cs="Times New Roman"/>
          <w:sz w:val="20"/>
          <w:szCs w:val="20"/>
        </w:rPr>
        <w:t xml:space="preserve">os de transparencia </w:t>
      </w:r>
      <w:r w:rsidR="005C303B" w:rsidRPr="009B2CA6">
        <w:rPr>
          <w:rFonts w:ascii="Verdana" w:hAnsi="Verdana" w:cs="Times New Roman"/>
          <w:sz w:val="20"/>
          <w:szCs w:val="20"/>
        </w:rPr>
        <w:t>establecidos en e</w:t>
      </w:r>
      <w:r w:rsidR="00F21EE4" w:rsidRPr="009B2CA6">
        <w:rPr>
          <w:rFonts w:ascii="Verdana" w:hAnsi="Verdana" w:cs="Times New Roman"/>
          <w:sz w:val="20"/>
          <w:szCs w:val="20"/>
        </w:rPr>
        <w:t>l</w:t>
      </w:r>
      <w:r w:rsidR="00046003" w:rsidRPr="009B2CA6">
        <w:rPr>
          <w:rFonts w:ascii="Verdana" w:hAnsi="Verdana" w:cs="Times New Roman"/>
          <w:sz w:val="20"/>
          <w:szCs w:val="20"/>
        </w:rPr>
        <w:t xml:space="preserve"> </w:t>
      </w:r>
      <w:r w:rsidR="00046003" w:rsidRPr="009B2CA6">
        <w:rPr>
          <w:rFonts w:ascii="Verdana" w:hAnsi="Verdana" w:cs="Times New Roman"/>
          <w:sz w:val="20"/>
          <w:szCs w:val="20"/>
        </w:rPr>
        <w:lastRenderedPageBreak/>
        <w:t>R</w:t>
      </w:r>
      <w:r w:rsidR="00166BC3" w:rsidRPr="009B2CA6">
        <w:rPr>
          <w:rFonts w:ascii="Verdana" w:hAnsi="Verdana" w:cs="Times New Roman"/>
          <w:sz w:val="20"/>
          <w:szCs w:val="20"/>
        </w:rPr>
        <w:t>eglamento</w:t>
      </w:r>
      <w:r w:rsidR="00166BC3" w:rsidRPr="009B2CA6">
        <w:rPr>
          <w:rStyle w:val="Refdenotaalpie"/>
          <w:rFonts w:ascii="Verdana" w:hAnsi="Verdana" w:cs="Times New Roman"/>
          <w:sz w:val="20"/>
          <w:szCs w:val="20"/>
        </w:rPr>
        <w:footnoteReference w:id="60"/>
      </w:r>
      <w:r w:rsidR="00046003" w:rsidRPr="009B2CA6">
        <w:rPr>
          <w:rFonts w:ascii="Verdana" w:hAnsi="Verdana" w:cs="Times New Roman"/>
          <w:sz w:val="20"/>
          <w:szCs w:val="20"/>
        </w:rPr>
        <w:t>.</w:t>
      </w:r>
      <w:r w:rsidR="00166BC3" w:rsidRPr="009B2CA6">
        <w:rPr>
          <w:rFonts w:ascii="Verdana" w:hAnsi="Verdana" w:cs="Times New Roman"/>
          <w:sz w:val="20"/>
          <w:szCs w:val="20"/>
        </w:rPr>
        <w:t xml:space="preserve"> </w:t>
      </w:r>
      <w:r w:rsidR="005C303B" w:rsidRPr="009B2CA6">
        <w:rPr>
          <w:rFonts w:ascii="Verdana" w:hAnsi="Verdana" w:cs="Times New Roman"/>
          <w:sz w:val="20"/>
          <w:szCs w:val="20"/>
        </w:rPr>
        <w:t>Así lo puso de manifiesto el t</w:t>
      </w:r>
      <w:r w:rsidR="00AD1545" w:rsidRPr="009B2CA6">
        <w:rPr>
          <w:rFonts w:ascii="Verdana" w:hAnsi="Verdana" w:cs="Times New Roman"/>
          <w:sz w:val="20"/>
          <w:szCs w:val="20"/>
        </w:rPr>
        <w:t xml:space="preserve">ribunal </w:t>
      </w:r>
      <w:r w:rsidR="005C303B" w:rsidRPr="009B2CA6">
        <w:rPr>
          <w:rFonts w:ascii="Verdana" w:hAnsi="Verdana" w:cs="Times New Roman"/>
          <w:sz w:val="20"/>
          <w:szCs w:val="20"/>
        </w:rPr>
        <w:t xml:space="preserve">arbitral </w:t>
      </w:r>
      <w:r w:rsidR="00AD1545" w:rsidRPr="009B2CA6">
        <w:rPr>
          <w:rFonts w:ascii="Verdana" w:hAnsi="Verdana" w:cs="Times New Roman"/>
          <w:sz w:val="20"/>
          <w:szCs w:val="20"/>
        </w:rPr>
        <w:t xml:space="preserve">del caso </w:t>
      </w:r>
      <w:r w:rsidR="00AD1545" w:rsidRPr="009B2CA6">
        <w:rPr>
          <w:rFonts w:ascii="Verdana" w:hAnsi="Verdana" w:cs="Times New Roman"/>
          <w:i/>
          <w:sz w:val="20"/>
          <w:szCs w:val="20"/>
        </w:rPr>
        <w:t>BSG Resources Limited, BSG Resources (Guinea) Limited and BSG Resources (Guinea) SÀRL vs. Republic of Guinea</w:t>
      </w:r>
      <w:r w:rsidR="00AD1545" w:rsidRPr="009B2CA6">
        <w:rPr>
          <w:rStyle w:val="Refdenotaalpie"/>
          <w:rFonts w:ascii="Verdana" w:hAnsi="Verdana" w:cs="Times New Roman"/>
          <w:sz w:val="20"/>
          <w:szCs w:val="20"/>
        </w:rPr>
        <w:footnoteReference w:id="61"/>
      </w:r>
      <w:r w:rsidR="005E5FE2" w:rsidRPr="009B2CA6">
        <w:rPr>
          <w:rFonts w:ascii="Verdana" w:hAnsi="Verdana" w:cs="Times New Roman"/>
          <w:sz w:val="20"/>
          <w:szCs w:val="20"/>
        </w:rPr>
        <w:t xml:space="preserve">. El presente litigo tuvo como causa la alegación por parte de </w:t>
      </w:r>
      <w:r w:rsidR="005E5FE2" w:rsidRPr="009B2CA6">
        <w:rPr>
          <w:rFonts w:ascii="Verdana" w:hAnsi="Verdana" w:cs="Times New Roman"/>
          <w:i/>
          <w:sz w:val="20"/>
          <w:szCs w:val="20"/>
        </w:rPr>
        <w:t>BSG Resources Limited</w:t>
      </w:r>
      <w:r w:rsidR="005E5FE2" w:rsidRPr="009B2CA6">
        <w:rPr>
          <w:rFonts w:ascii="Verdana" w:hAnsi="Verdana" w:cs="Times New Roman"/>
          <w:sz w:val="20"/>
          <w:szCs w:val="20"/>
        </w:rPr>
        <w:t xml:space="preserve"> (Demandante) de la violación de una serie de derechos mineros </w:t>
      </w:r>
      <w:r w:rsidR="0040379D" w:rsidRPr="009B2CA6">
        <w:rPr>
          <w:rFonts w:ascii="Verdana" w:hAnsi="Verdana" w:cs="Times New Roman"/>
          <w:sz w:val="20"/>
          <w:szCs w:val="20"/>
        </w:rPr>
        <w:t xml:space="preserve">por parte de la República de Guinea (Demandada) que fueron </w:t>
      </w:r>
      <w:r w:rsidR="005E5FE2" w:rsidRPr="009B2CA6">
        <w:rPr>
          <w:rFonts w:ascii="Verdana" w:hAnsi="Verdana" w:cs="Times New Roman"/>
          <w:sz w:val="20"/>
          <w:szCs w:val="20"/>
        </w:rPr>
        <w:t>previamente otorgados a dos de sus subsidiarias</w:t>
      </w:r>
      <w:r w:rsidR="0040379D" w:rsidRPr="009B2CA6">
        <w:rPr>
          <w:rFonts w:ascii="Verdana" w:hAnsi="Verdana" w:cs="Times New Roman"/>
          <w:sz w:val="20"/>
          <w:szCs w:val="20"/>
        </w:rPr>
        <w:t xml:space="preserve"> por el Gobierno guineano</w:t>
      </w:r>
      <w:r w:rsidR="005E5FE2" w:rsidRPr="009B2CA6">
        <w:rPr>
          <w:rFonts w:ascii="Verdana" w:hAnsi="Verdana" w:cs="Times New Roman"/>
          <w:sz w:val="20"/>
          <w:szCs w:val="20"/>
        </w:rPr>
        <w:t xml:space="preserve">. Derechos que fueron retirados por Guinea, una vez </w:t>
      </w:r>
      <w:r w:rsidR="003511EF" w:rsidRPr="009B2CA6">
        <w:rPr>
          <w:rFonts w:ascii="Verdana" w:hAnsi="Verdana" w:cs="Times New Roman"/>
          <w:sz w:val="20"/>
          <w:szCs w:val="20"/>
        </w:rPr>
        <w:t>revisados</w:t>
      </w:r>
      <w:r w:rsidR="005E5FE2" w:rsidRPr="009B2CA6">
        <w:rPr>
          <w:rFonts w:ascii="Verdana" w:hAnsi="Verdana" w:cs="Times New Roman"/>
          <w:sz w:val="20"/>
          <w:szCs w:val="20"/>
        </w:rPr>
        <w:t xml:space="preserve"> el expediente de concesión mediante un procedimiento administrativo llevado a cabo por el Gobierno guineano y </w:t>
      </w:r>
      <w:r w:rsidR="00BC398B" w:rsidRPr="009B2CA6">
        <w:rPr>
          <w:rFonts w:ascii="Verdana" w:hAnsi="Verdana" w:cs="Times New Roman"/>
          <w:sz w:val="20"/>
          <w:szCs w:val="20"/>
        </w:rPr>
        <w:t xml:space="preserve">tras </w:t>
      </w:r>
      <w:r w:rsidR="005E5FE2" w:rsidRPr="009B2CA6">
        <w:rPr>
          <w:rFonts w:ascii="Verdana" w:hAnsi="Verdana" w:cs="Times New Roman"/>
          <w:sz w:val="20"/>
          <w:szCs w:val="20"/>
        </w:rPr>
        <w:t>detectar la existencia de corrupción</w:t>
      </w:r>
      <w:r w:rsidR="001A2022" w:rsidRPr="009B2CA6">
        <w:rPr>
          <w:rFonts w:ascii="Verdana" w:hAnsi="Verdana" w:cs="Times New Roman"/>
          <w:sz w:val="20"/>
          <w:szCs w:val="20"/>
        </w:rPr>
        <w:t xml:space="preserve"> en el proceso de concesión. </w:t>
      </w:r>
    </w:p>
    <w:p w:rsidR="00AD1545" w:rsidRPr="009B2CA6" w:rsidRDefault="003511EF"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Durante el transcurso del </w:t>
      </w:r>
      <w:r w:rsidR="001A2022" w:rsidRPr="009B2CA6">
        <w:rPr>
          <w:rFonts w:ascii="Verdana" w:hAnsi="Verdana" w:cs="Times New Roman"/>
          <w:sz w:val="20"/>
          <w:szCs w:val="20"/>
        </w:rPr>
        <w:t xml:space="preserve">procedimiento, el Tribunal recibe </w:t>
      </w:r>
      <w:r w:rsidR="00AD1545" w:rsidRPr="009B2CA6">
        <w:rPr>
          <w:rFonts w:ascii="Verdana" w:hAnsi="Verdana" w:cs="Times New Roman"/>
          <w:sz w:val="20"/>
          <w:szCs w:val="20"/>
        </w:rPr>
        <w:t>una solicitud realizada por</w:t>
      </w:r>
      <w:r w:rsidR="006F2B51" w:rsidRPr="009B2CA6">
        <w:rPr>
          <w:rFonts w:ascii="Verdana" w:hAnsi="Verdana" w:cs="Times New Roman"/>
          <w:sz w:val="20"/>
          <w:szCs w:val="20"/>
        </w:rPr>
        <w:t xml:space="preserve"> las P</w:t>
      </w:r>
      <w:r w:rsidR="00AD1545" w:rsidRPr="009B2CA6">
        <w:rPr>
          <w:rFonts w:ascii="Verdana" w:hAnsi="Verdana" w:cs="Times New Roman"/>
          <w:sz w:val="20"/>
          <w:szCs w:val="20"/>
        </w:rPr>
        <w:t>artes para proteger la información confidencial contenida en cinco categorías de documentos</w:t>
      </w:r>
      <w:r w:rsidR="006F2B51" w:rsidRPr="009B2CA6">
        <w:rPr>
          <w:rFonts w:ascii="Verdana" w:hAnsi="Verdana" w:cs="Times New Roman"/>
          <w:sz w:val="20"/>
          <w:szCs w:val="20"/>
        </w:rPr>
        <w:t xml:space="preserve"> presentados en el caso</w:t>
      </w:r>
      <w:r w:rsidR="00AD1545" w:rsidRPr="009B2CA6">
        <w:rPr>
          <w:rFonts w:ascii="Verdana" w:hAnsi="Verdana" w:cs="Times New Roman"/>
          <w:sz w:val="20"/>
          <w:szCs w:val="20"/>
        </w:rPr>
        <w:t xml:space="preserve">, </w:t>
      </w:r>
      <w:r w:rsidR="00F21EE4" w:rsidRPr="009B2CA6">
        <w:rPr>
          <w:rFonts w:ascii="Verdana" w:hAnsi="Verdana" w:cs="Times New Roman"/>
          <w:sz w:val="20"/>
          <w:szCs w:val="20"/>
        </w:rPr>
        <w:t>en base a</w:t>
      </w:r>
      <w:r w:rsidR="00AD1545" w:rsidRPr="009B2CA6">
        <w:rPr>
          <w:rFonts w:ascii="Verdana" w:hAnsi="Verdana" w:cs="Times New Roman"/>
          <w:sz w:val="20"/>
          <w:szCs w:val="20"/>
        </w:rPr>
        <w:t xml:space="preserve"> lo establecido en el Art. 7 del Reglamento sobre la Transparencia y las</w:t>
      </w:r>
      <w:r w:rsidR="001A2022" w:rsidRPr="009B2CA6">
        <w:rPr>
          <w:rFonts w:ascii="Verdana" w:hAnsi="Verdana" w:cs="Times New Roman"/>
          <w:sz w:val="20"/>
          <w:szCs w:val="20"/>
        </w:rPr>
        <w:t xml:space="preserve"> propias</w:t>
      </w:r>
      <w:r w:rsidR="00AD1545" w:rsidRPr="009B2CA6">
        <w:rPr>
          <w:rFonts w:ascii="Verdana" w:hAnsi="Verdana" w:cs="Times New Roman"/>
          <w:sz w:val="20"/>
          <w:szCs w:val="20"/>
        </w:rPr>
        <w:t xml:space="preserve"> reglas que las Partes adoptaron por Orden Procesal No. 2.</w:t>
      </w:r>
      <w:r w:rsidR="006F2B51" w:rsidRPr="009B2CA6">
        <w:rPr>
          <w:rFonts w:ascii="Verdana" w:hAnsi="Verdana" w:cs="Times New Roman"/>
          <w:sz w:val="20"/>
          <w:szCs w:val="20"/>
        </w:rPr>
        <w:t xml:space="preserve"> </w:t>
      </w:r>
      <w:r w:rsidR="00730181">
        <w:rPr>
          <w:rFonts w:ascii="Verdana" w:hAnsi="Verdana" w:cs="Times New Roman"/>
          <w:sz w:val="20"/>
          <w:szCs w:val="20"/>
        </w:rPr>
        <w:t>Así pues</w:t>
      </w:r>
      <w:r w:rsidR="006F2B51" w:rsidRPr="009B2CA6">
        <w:rPr>
          <w:rFonts w:ascii="Verdana" w:hAnsi="Verdana" w:cs="Times New Roman"/>
          <w:sz w:val="20"/>
          <w:szCs w:val="20"/>
        </w:rPr>
        <w:t>, el Tribunal</w:t>
      </w:r>
      <w:r w:rsidR="00F21EE4" w:rsidRPr="009B2CA6">
        <w:rPr>
          <w:rFonts w:ascii="Verdana" w:hAnsi="Verdana" w:cs="Times New Roman"/>
          <w:sz w:val="20"/>
          <w:szCs w:val="20"/>
        </w:rPr>
        <w:t>, una vez analizado</w:t>
      </w:r>
      <w:r w:rsidR="00135691" w:rsidRPr="009B2CA6">
        <w:rPr>
          <w:rFonts w:ascii="Verdana" w:hAnsi="Verdana" w:cs="Times New Roman"/>
          <w:sz w:val="20"/>
          <w:szCs w:val="20"/>
        </w:rPr>
        <w:t xml:space="preserve"> </w:t>
      </w:r>
      <w:r w:rsidR="006F2B51" w:rsidRPr="009B2CA6">
        <w:rPr>
          <w:rFonts w:ascii="Verdana" w:hAnsi="Verdana" w:cs="Times New Roman"/>
          <w:sz w:val="20"/>
          <w:szCs w:val="20"/>
        </w:rPr>
        <w:t xml:space="preserve">el marco legal </w:t>
      </w:r>
      <w:r w:rsidR="003E4E0D" w:rsidRPr="009B2CA6">
        <w:rPr>
          <w:rFonts w:ascii="Verdana" w:hAnsi="Verdana" w:cs="Times New Roman"/>
          <w:sz w:val="20"/>
          <w:szCs w:val="20"/>
        </w:rPr>
        <w:t>aplicable al caso, reconoció</w:t>
      </w:r>
      <w:r w:rsidR="00570A93" w:rsidRPr="009B2CA6">
        <w:rPr>
          <w:rFonts w:ascii="Verdana" w:hAnsi="Verdana" w:cs="Times New Roman"/>
          <w:sz w:val="20"/>
          <w:szCs w:val="20"/>
        </w:rPr>
        <w:t xml:space="preserve"> que</w:t>
      </w:r>
      <w:r w:rsidR="006F2B51" w:rsidRPr="009B2CA6">
        <w:rPr>
          <w:rFonts w:ascii="Verdana" w:hAnsi="Verdana" w:cs="Times New Roman"/>
          <w:sz w:val="20"/>
          <w:szCs w:val="20"/>
        </w:rPr>
        <w:t xml:space="preserve"> </w:t>
      </w:r>
      <w:r w:rsidR="00F21EE4" w:rsidRPr="009B2CA6">
        <w:rPr>
          <w:rFonts w:ascii="Verdana" w:hAnsi="Verdana" w:cs="Times New Roman"/>
          <w:sz w:val="20"/>
          <w:szCs w:val="20"/>
        </w:rPr>
        <w:t>“</w:t>
      </w:r>
      <w:r w:rsidR="006F2B51" w:rsidRPr="009B2CA6">
        <w:rPr>
          <w:rFonts w:ascii="Verdana" w:hAnsi="Verdana" w:cs="Times New Roman"/>
          <w:i/>
          <w:sz w:val="20"/>
          <w:szCs w:val="20"/>
        </w:rPr>
        <w:t>cuando existe una disputa sobre si un determinado documento o categoría de documento es confidencial, el Tribunal actuará siempre en base al Art. 7</w:t>
      </w:r>
      <w:r w:rsidR="00F21EE4" w:rsidRPr="009B2CA6">
        <w:rPr>
          <w:rFonts w:ascii="Verdana" w:hAnsi="Verdana" w:cs="Times New Roman"/>
          <w:i/>
          <w:sz w:val="20"/>
          <w:szCs w:val="20"/>
        </w:rPr>
        <w:t xml:space="preserve"> del Reglamento sobre la Tr</w:t>
      </w:r>
      <w:r w:rsidR="00570A93" w:rsidRPr="009B2CA6">
        <w:rPr>
          <w:rFonts w:ascii="Verdana" w:hAnsi="Verdana" w:cs="Times New Roman"/>
          <w:i/>
          <w:sz w:val="20"/>
          <w:szCs w:val="20"/>
        </w:rPr>
        <w:t>ansparencia, teniendo en cuenta</w:t>
      </w:r>
      <w:r w:rsidR="00F21EE4" w:rsidRPr="009B2CA6">
        <w:rPr>
          <w:rFonts w:ascii="Verdana" w:hAnsi="Verdana" w:cs="Times New Roman"/>
          <w:i/>
          <w:sz w:val="20"/>
          <w:szCs w:val="20"/>
        </w:rPr>
        <w:t xml:space="preserve"> el ejercicio de su discrecionalidad, el interés público en la transparencia y el interés de las Partes en una resolución justa y eficiente de la controversia. Para garantizar, de esta manera, que los objetivos de transparencia prevalezcan ante cualquier conducta que tenga el efecto de socavar dicho objetivo</w:t>
      </w:r>
      <w:r w:rsidR="00F21EE4" w:rsidRPr="009B2CA6">
        <w:rPr>
          <w:rFonts w:ascii="Verdana" w:hAnsi="Verdana" w:cs="Times New Roman"/>
          <w:sz w:val="20"/>
          <w:szCs w:val="20"/>
        </w:rPr>
        <w:t>”</w:t>
      </w:r>
      <w:r w:rsidR="00F21EE4" w:rsidRPr="009B2CA6">
        <w:rPr>
          <w:rStyle w:val="Refdenotaalpie"/>
          <w:rFonts w:ascii="Verdana" w:hAnsi="Verdana" w:cs="Times New Roman"/>
          <w:sz w:val="20"/>
          <w:szCs w:val="20"/>
        </w:rPr>
        <w:footnoteReference w:id="62"/>
      </w:r>
      <w:r w:rsidR="00F21EE4" w:rsidRPr="009B2CA6">
        <w:rPr>
          <w:rFonts w:ascii="Verdana" w:hAnsi="Verdana" w:cs="Times New Roman"/>
          <w:sz w:val="20"/>
          <w:szCs w:val="20"/>
        </w:rPr>
        <w:t>.</w:t>
      </w:r>
    </w:p>
    <w:p w:rsidR="00251FD3" w:rsidRDefault="002324F1"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Merece la pena llamar la atención sobre el hecho de </w:t>
      </w:r>
      <w:r w:rsidR="0060544D" w:rsidRPr="009B2CA6">
        <w:rPr>
          <w:rFonts w:ascii="Verdana" w:hAnsi="Verdana" w:cs="Times New Roman"/>
          <w:sz w:val="20"/>
          <w:szCs w:val="20"/>
        </w:rPr>
        <w:t xml:space="preserve">que las facultades otorgadas al tribunal arbitral consagradas en </w:t>
      </w:r>
      <w:r w:rsidRPr="009B2CA6">
        <w:rPr>
          <w:rFonts w:ascii="Verdana" w:hAnsi="Verdana" w:cs="Times New Roman"/>
          <w:sz w:val="20"/>
          <w:szCs w:val="20"/>
        </w:rPr>
        <w:t>el art</w:t>
      </w:r>
      <w:r w:rsidR="00AD4ACA" w:rsidRPr="009B2CA6">
        <w:rPr>
          <w:rFonts w:ascii="Verdana" w:hAnsi="Verdana" w:cs="Times New Roman"/>
          <w:sz w:val="20"/>
          <w:szCs w:val="20"/>
        </w:rPr>
        <w:t>ículo</w:t>
      </w:r>
      <w:r w:rsidR="0060544D" w:rsidRPr="009B2CA6">
        <w:rPr>
          <w:rFonts w:ascii="Verdana" w:hAnsi="Verdana" w:cs="Times New Roman"/>
          <w:sz w:val="20"/>
          <w:szCs w:val="20"/>
        </w:rPr>
        <w:t xml:space="preserve"> 1.6 del Reglamento</w:t>
      </w:r>
      <w:r w:rsidR="00FA6512" w:rsidRPr="009B2CA6">
        <w:rPr>
          <w:rFonts w:ascii="Verdana" w:hAnsi="Verdana" w:cs="Times New Roman"/>
          <w:sz w:val="20"/>
          <w:szCs w:val="20"/>
        </w:rPr>
        <w:t>,</w:t>
      </w:r>
      <w:r w:rsidRPr="009B2CA6">
        <w:rPr>
          <w:rFonts w:ascii="Verdana" w:hAnsi="Verdana" w:cs="Times New Roman"/>
          <w:sz w:val="20"/>
          <w:szCs w:val="20"/>
        </w:rPr>
        <w:t xml:space="preserve"> </w:t>
      </w:r>
      <w:r w:rsidR="00FA6512" w:rsidRPr="009B2CA6">
        <w:rPr>
          <w:rFonts w:ascii="Verdana" w:hAnsi="Verdana" w:cs="Times New Roman"/>
          <w:sz w:val="20"/>
          <w:szCs w:val="20"/>
        </w:rPr>
        <w:t xml:space="preserve">que persiguen </w:t>
      </w:r>
      <w:r w:rsidR="0060544D" w:rsidRPr="009B2CA6">
        <w:rPr>
          <w:rFonts w:ascii="Verdana" w:hAnsi="Verdana" w:cs="Times New Roman"/>
          <w:sz w:val="20"/>
          <w:szCs w:val="20"/>
        </w:rPr>
        <w:t xml:space="preserve">hacer prevalecer la transparencia en el procedimiento, </w:t>
      </w:r>
      <w:r w:rsidRPr="009B2CA6">
        <w:rPr>
          <w:rFonts w:ascii="Verdana" w:hAnsi="Verdana" w:cs="Times New Roman"/>
          <w:sz w:val="20"/>
          <w:szCs w:val="20"/>
        </w:rPr>
        <w:t xml:space="preserve">constituyen </w:t>
      </w:r>
      <w:r w:rsidR="00E14B7F" w:rsidRPr="009B2CA6">
        <w:rPr>
          <w:rFonts w:ascii="Verdana" w:hAnsi="Verdana" w:cs="Times New Roman"/>
          <w:sz w:val="20"/>
          <w:szCs w:val="20"/>
        </w:rPr>
        <w:t>una</w:t>
      </w:r>
      <w:r w:rsidR="00046003" w:rsidRPr="009B2CA6">
        <w:rPr>
          <w:rFonts w:ascii="Verdana" w:hAnsi="Verdana" w:cs="Times New Roman"/>
          <w:sz w:val="20"/>
          <w:szCs w:val="20"/>
        </w:rPr>
        <w:t xml:space="preserve"> </w:t>
      </w:r>
      <w:r w:rsidRPr="009B2CA6">
        <w:rPr>
          <w:rFonts w:ascii="Verdana" w:hAnsi="Verdana" w:cs="Times New Roman"/>
          <w:sz w:val="20"/>
          <w:szCs w:val="20"/>
        </w:rPr>
        <w:t xml:space="preserve">fuerte </w:t>
      </w:r>
      <w:r w:rsidR="00046003" w:rsidRPr="009B2CA6">
        <w:rPr>
          <w:rFonts w:ascii="Verdana" w:hAnsi="Verdana" w:cs="Times New Roman"/>
          <w:sz w:val="20"/>
          <w:szCs w:val="20"/>
        </w:rPr>
        <w:t>limita</w:t>
      </w:r>
      <w:r w:rsidR="00E14B7F" w:rsidRPr="009B2CA6">
        <w:rPr>
          <w:rFonts w:ascii="Verdana" w:hAnsi="Verdana" w:cs="Times New Roman"/>
          <w:sz w:val="20"/>
          <w:szCs w:val="20"/>
        </w:rPr>
        <w:t>ción a</w:t>
      </w:r>
      <w:r w:rsidR="00046003" w:rsidRPr="009B2CA6">
        <w:rPr>
          <w:rFonts w:ascii="Verdana" w:hAnsi="Verdana" w:cs="Times New Roman"/>
          <w:sz w:val="20"/>
          <w:szCs w:val="20"/>
        </w:rPr>
        <w:t xml:space="preserve"> la capacidad de los Estados para </w:t>
      </w:r>
      <w:r w:rsidRPr="009B2CA6">
        <w:rPr>
          <w:rFonts w:ascii="Verdana" w:hAnsi="Verdana" w:cs="Times New Roman"/>
          <w:sz w:val="20"/>
          <w:szCs w:val="20"/>
        </w:rPr>
        <w:t xml:space="preserve">eludir </w:t>
      </w:r>
      <w:r w:rsidR="00046003" w:rsidRPr="009B2CA6">
        <w:rPr>
          <w:rFonts w:ascii="Verdana" w:hAnsi="Verdana" w:cs="Times New Roman"/>
          <w:sz w:val="20"/>
          <w:szCs w:val="20"/>
        </w:rPr>
        <w:t>la aplicación del Reglamento sobre Transparencia</w:t>
      </w:r>
      <w:r w:rsidR="00F65CBF" w:rsidRPr="009B2CA6">
        <w:rPr>
          <w:rFonts w:ascii="Verdana" w:hAnsi="Verdana" w:cs="Times New Roman"/>
          <w:sz w:val="20"/>
          <w:szCs w:val="20"/>
        </w:rPr>
        <w:t xml:space="preserve">. </w:t>
      </w:r>
      <w:r w:rsidR="00FA6512" w:rsidRPr="009B2CA6">
        <w:rPr>
          <w:rFonts w:ascii="Verdana" w:hAnsi="Verdana" w:cs="Times New Roman"/>
          <w:sz w:val="20"/>
          <w:szCs w:val="20"/>
        </w:rPr>
        <w:t xml:space="preserve">Opinamos </w:t>
      </w:r>
      <w:r w:rsidR="00F65CBF" w:rsidRPr="009B2CA6">
        <w:rPr>
          <w:rFonts w:ascii="Verdana" w:hAnsi="Verdana" w:cs="Times New Roman"/>
          <w:sz w:val="20"/>
          <w:szCs w:val="20"/>
        </w:rPr>
        <w:t>que dicha limitaci</w:t>
      </w:r>
      <w:r w:rsidR="00227DEF" w:rsidRPr="009B2CA6">
        <w:rPr>
          <w:rFonts w:ascii="Verdana" w:hAnsi="Verdana" w:cs="Times New Roman"/>
          <w:sz w:val="20"/>
          <w:szCs w:val="20"/>
        </w:rPr>
        <w:t>ón</w:t>
      </w:r>
      <w:r w:rsidR="00625722" w:rsidRPr="009B2CA6">
        <w:rPr>
          <w:rFonts w:ascii="Verdana" w:hAnsi="Verdana" w:cs="Times New Roman"/>
          <w:sz w:val="20"/>
          <w:szCs w:val="20"/>
        </w:rPr>
        <w:t xml:space="preserve"> ha</w:t>
      </w:r>
      <w:r w:rsidR="00F65CBF" w:rsidRPr="009B2CA6">
        <w:rPr>
          <w:rFonts w:ascii="Verdana" w:hAnsi="Verdana" w:cs="Times New Roman"/>
          <w:sz w:val="20"/>
          <w:szCs w:val="20"/>
        </w:rPr>
        <w:t xml:space="preserve"> </w:t>
      </w:r>
      <w:r w:rsidR="00FA6512" w:rsidRPr="009B2CA6">
        <w:rPr>
          <w:rFonts w:ascii="Verdana" w:hAnsi="Verdana" w:cs="Times New Roman"/>
          <w:sz w:val="20"/>
          <w:szCs w:val="20"/>
        </w:rPr>
        <w:t xml:space="preserve">sido introducida de propósito con el objeto de </w:t>
      </w:r>
      <w:r w:rsidR="002F17B7" w:rsidRPr="009B2CA6">
        <w:rPr>
          <w:rFonts w:ascii="Verdana" w:hAnsi="Verdana" w:cs="Times New Roman"/>
          <w:sz w:val="20"/>
          <w:szCs w:val="20"/>
        </w:rPr>
        <w:t>restablecer</w:t>
      </w:r>
      <w:r w:rsidR="00F65CBF" w:rsidRPr="009B2CA6">
        <w:rPr>
          <w:rFonts w:ascii="Verdana" w:hAnsi="Verdana" w:cs="Times New Roman"/>
          <w:sz w:val="20"/>
          <w:szCs w:val="20"/>
        </w:rPr>
        <w:t xml:space="preserve"> </w:t>
      </w:r>
      <w:r w:rsidR="00FA6512" w:rsidRPr="009B2CA6">
        <w:rPr>
          <w:rFonts w:ascii="Verdana" w:hAnsi="Verdana" w:cs="Times New Roman"/>
          <w:sz w:val="20"/>
          <w:szCs w:val="20"/>
        </w:rPr>
        <w:t>la proporcionalidad</w:t>
      </w:r>
      <w:r w:rsidR="00F65CBF" w:rsidRPr="009B2CA6">
        <w:rPr>
          <w:rFonts w:ascii="Verdana" w:hAnsi="Verdana" w:cs="Times New Roman"/>
          <w:sz w:val="20"/>
          <w:szCs w:val="20"/>
        </w:rPr>
        <w:t xml:space="preserve"> o </w:t>
      </w:r>
      <w:r w:rsidR="00FA6512" w:rsidRPr="009B2CA6">
        <w:rPr>
          <w:rFonts w:ascii="Verdana" w:hAnsi="Verdana" w:cs="Times New Roman"/>
          <w:sz w:val="20"/>
          <w:szCs w:val="20"/>
        </w:rPr>
        <w:t xml:space="preserve">el </w:t>
      </w:r>
      <w:r w:rsidR="00F65CBF" w:rsidRPr="009B2CA6">
        <w:rPr>
          <w:rFonts w:ascii="Verdana" w:hAnsi="Verdana" w:cs="Times New Roman"/>
          <w:sz w:val="20"/>
          <w:szCs w:val="20"/>
        </w:rPr>
        <w:t>equilibrio</w:t>
      </w:r>
      <w:r w:rsidR="00A634F9" w:rsidRPr="009B2CA6">
        <w:rPr>
          <w:rFonts w:ascii="Verdana" w:hAnsi="Verdana" w:cs="Times New Roman"/>
          <w:sz w:val="20"/>
          <w:szCs w:val="20"/>
        </w:rPr>
        <w:t xml:space="preserve"> en relación con algunas de las </w:t>
      </w:r>
      <w:r w:rsidR="00F65CBF" w:rsidRPr="009B2CA6">
        <w:rPr>
          <w:rFonts w:ascii="Verdana" w:hAnsi="Verdana" w:cs="Times New Roman"/>
          <w:sz w:val="20"/>
          <w:szCs w:val="20"/>
        </w:rPr>
        <w:t xml:space="preserve">excepciones establecidas en el artículo 7 del Reglamento sobre </w:t>
      </w:r>
      <w:r w:rsidR="00432873" w:rsidRPr="009B2CA6">
        <w:rPr>
          <w:rFonts w:ascii="Verdana" w:hAnsi="Verdana" w:cs="Times New Roman"/>
          <w:sz w:val="20"/>
          <w:szCs w:val="20"/>
        </w:rPr>
        <w:t xml:space="preserve">la </w:t>
      </w:r>
      <w:r w:rsidR="00F65CBF" w:rsidRPr="009B2CA6">
        <w:rPr>
          <w:rFonts w:ascii="Verdana" w:hAnsi="Verdana" w:cs="Times New Roman"/>
          <w:sz w:val="20"/>
          <w:szCs w:val="20"/>
        </w:rPr>
        <w:t>Transparencia</w:t>
      </w:r>
      <w:r w:rsidR="00FA6512" w:rsidRPr="009B2CA6">
        <w:rPr>
          <w:rFonts w:ascii="Verdana" w:hAnsi="Verdana" w:cs="Times New Roman"/>
          <w:sz w:val="20"/>
          <w:szCs w:val="20"/>
        </w:rPr>
        <w:t>, que autorizan a los Estados a soslayar su aplicación</w:t>
      </w:r>
      <w:r w:rsidR="00A634F9" w:rsidRPr="009B2CA6">
        <w:rPr>
          <w:rFonts w:ascii="Verdana" w:hAnsi="Verdana" w:cs="Times New Roman"/>
          <w:sz w:val="20"/>
          <w:szCs w:val="20"/>
        </w:rPr>
        <w:t xml:space="preserve">. </w:t>
      </w:r>
      <w:r w:rsidR="00625722" w:rsidRPr="009B2CA6">
        <w:rPr>
          <w:rFonts w:ascii="Verdana" w:hAnsi="Verdana" w:cs="Times New Roman"/>
          <w:sz w:val="20"/>
          <w:szCs w:val="20"/>
        </w:rPr>
        <w:t>De lo contrario, l</w:t>
      </w:r>
      <w:r w:rsidR="00E378E5" w:rsidRPr="009B2CA6">
        <w:rPr>
          <w:rFonts w:ascii="Verdana" w:hAnsi="Verdana" w:cs="Times New Roman"/>
          <w:sz w:val="20"/>
          <w:szCs w:val="20"/>
        </w:rPr>
        <w:t>os propios Estados como P</w:t>
      </w:r>
      <w:r w:rsidR="00A634F9" w:rsidRPr="009B2CA6">
        <w:rPr>
          <w:rFonts w:ascii="Verdana" w:hAnsi="Verdana" w:cs="Times New Roman"/>
          <w:sz w:val="20"/>
          <w:szCs w:val="20"/>
        </w:rPr>
        <w:t xml:space="preserve">artes contendientes </w:t>
      </w:r>
      <w:r w:rsidR="00FA6512" w:rsidRPr="009B2CA6">
        <w:rPr>
          <w:rFonts w:ascii="Verdana" w:hAnsi="Verdana" w:cs="Times New Roman"/>
          <w:sz w:val="20"/>
          <w:szCs w:val="20"/>
        </w:rPr>
        <w:t>podrían</w:t>
      </w:r>
      <w:r w:rsidR="00A634F9" w:rsidRPr="009B2CA6">
        <w:rPr>
          <w:rFonts w:ascii="Verdana" w:hAnsi="Verdana" w:cs="Times New Roman"/>
          <w:sz w:val="20"/>
          <w:szCs w:val="20"/>
        </w:rPr>
        <w:t xml:space="preserve"> invocar su propia ley para evitar</w:t>
      </w:r>
      <w:r w:rsidR="00FA6512" w:rsidRPr="009B2CA6">
        <w:rPr>
          <w:rFonts w:ascii="Verdana" w:hAnsi="Verdana" w:cs="Times New Roman"/>
          <w:sz w:val="20"/>
          <w:szCs w:val="20"/>
        </w:rPr>
        <w:t>, por ejemplo,</w:t>
      </w:r>
      <w:r w:rsidR="00A634F9" w:rsidRPr="009B2CA6">
        <w:rPr>
          <w:rFonts w:ascii="Verdana" w:hAnsi="Verdana" w:cs="Times New Roman"/>
          <w:sz w:val="20"/>
          <w:szCs w:val="20"/>
        </w:rPr>
        <w:t xml:space="preserve"> la publicación o divulgación de </w:t>
      </w:r>
      <w:r w:rsidR="00FA6512" w:rsidRPr="009B2CA6">
        <w:rPr>
          <w:rFonts w:ascii="Verdana" w:hAnsi="Verdana" w:cs="Times New Roman"/>
          <w:sz w:val="20"/>
          <w:szCs w:val="20"/>
        </w:rPr>
        <w:t xml:space="preserve">ciertas informaciones </w:t>
      </w:r>
      <w:r w:rsidR="00CA45F5" w:rsidRPr="009B2CA6">
        <w:rPr>
          <w:rFonts w:ascii="Verdana" w:hAnsi="Verdana" w:cs="Times New Roman"/>
          <w:sz w:val="20"/>
          <w:szCs w:val="20"/>
        </w:rPr>
        <w:t>relativas al pro</w:t>
      </w:r>
      <w:r w:rsidR="00CF557F" w:rsidRPr="009B2CA6">
        <w:rPr>
          <w:rFonts w:ascii="Verdana" w:hAnsi="Verdana" w:cs="Times New Roman"/>
          <w:sz w:val="20"/>
          <w:szCs w:val="20"/>
        </w:rPr>
        <w:t>c</w:t>
      </w:r>
      <w:r w:rsidR="00CA45F5" w:rsidRPr="009B2CA6">
        <w:rPr>
          <w:rFonts w:ascii="Verdana" w:hAnsi="Verdana" w:cs="Times New Roman"/>
          <w:sz w:val="20"/>
          <w:szCs w:val="20"/>
        </w:rPr>
        <w:t>edimiento</w:t>
      </w:r>
      <w:r w:rsidR="00A634F9" w:rsidRPr="009B2CA6">
        <w:rPr>
          <w:rFonts w:ascii="Verdana" w:hAnsi="Verdana" w:cs="Times New Roman"/>
          <w:sz w:val="20"/>
          <w:szCs w:val="20"/>
        </w:rPr>
        <w:t xml:space="preserve">. </w:t>
      </w:r>
    </w:p>
    <w:p w:rsidR="008C303E" w:rsidRDefault="008C303E" w:rsidP="006D3AD5">
      <w:pPr>
        <w:pStyle w:val="Contenidodelatabla"/>
        <w:spacing w:line="240" w:lineRule="auto"/>
        <w:rPr>
          <w:rFonts w:ascii="Verdana" w:hAnsi="Verdana" w:cs="Times New Roman"/>
          <w:sz w:val="20"/>
          <w:szCs w:val="20"/>
        </w:rPr>
      </w:pPr>
    </w:p>
    <w:p w:rsidR="00CE169C" w:rsidRPr="009B2CA6" w:rsidRDefault="00E0258A" w:rsidP="006D3AD5">
      <w:pPr>
        <w:pStyle w:val="Contenidodelatabla"/>
        <w:spacing w:line="240" w:lineRule="auto"/>
        <w:ind w:firstLine="0"/>
        <w:outlineLvl w:val="2"/>
        <w:rPr>
          <w:rFonts w:ascii="Verdana" w:hAnsi="Verdana" w:cs="Times New Roman"/>
          <w:sz w:val="20"/>
          <w:szCs w:val="20"/>
        </w:rPr>
      </w:pPr>
      <w:bookmarkStart w:id="35" w:name="_Toc536741920"/>
      <w:bookmarkStart w:id="36" w:name="_Toc1224442"/>
      <w:r w:rsidRPr="009B2CA6">
        <w:rPr>
          <w:rFonts w:ascii="Verdana" w:hAnsi="Verdana" w:cs="Times New Roman"/>
          <w:b/>
          <w:sz w:val="20"/>
          <w:szCs w:val="20"/>
        </w:rPr>
        <w:t xml:space="preserve">4.1.4 </w:t>
      </w:r>
      <w:r w:rsidR="004F4B0E" w:rsidRPr="009B2CA6">
        <w:rPr>
          <w:rFonts w:ascii="Verdana" w:hAnsi="Verdana" w:cs="Times New Roman"/>
          <w:b/>
          <w:sz w:val="20"/>
          <w:szCs w:val="20"/>
        </w:rPr>
        <w:t>Instrumento aplicable</w:t>
      </w:r>
      <w:r w:rsidR="00CE169C" w:rsidRPr="009B2CA6">
        <w:rPr>
          <w:rFonts w:ascii="Verdana" w:hAnsi="Verdana" w:cs="Times New Roman"/>
          <w:b/>
          <w:sz w:val="20"/>
          <w:szCs w:val="20"/>
        </w:rPr>
        <w:t xml:space="preserve"> en caso de conflicto.</w:t>
      </w:r>
      <w:bookmarkEnd w:id="35"/>
      <w:bookmarkEnd w:id="36"/>
    </w:p>
    <w:p w:rsidR="00F5720C" w:rsidRPr="009B2CA6" w:rsidRDefault="00091A1C"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w:t>
      </w:r>
      <w:r w:rsidR="001615A3" w:rsidRPr="009B2CA6">
        <w:rPr>
          <w:rFonts w:ascii="Verdana" w:hAnsi="Verdana" w:cs="Times New Roman"/>
          <w:sz w:val="20"/>
          <w:szCs w:val="20"/>
        </w:rPr>
        <w:t>l Reglamento</w:t>
      </w:r>
      <w:r w:rsidRPr="009B2CA6">
        <w:rPr>
          <w:rFonts w:ascii="Verdana" w:hAnsi="Verdana" w:cs="Times New Roman"/>
          <w:sz w:val="20"/>
          <w:szCs w:val="20"/>
        </w:rPr>
        <w:t>, en busca de una mayor transparen</w:t>
      </w:r>
      <w:r w:rsidR="001615A3" w:rsidRPr="009B2CA6">
        <w:rPr>
          <w:rFonts w:ascii="Verdana" w:hAnsi="Verdana" w:cs="Times New Roman"/>
          <w:sz w:val="20"/>
          <w:szCs w:val="20"/>
        </w:rPr>
        <w:t>cia en el arbitraje de inversiones</w:t>
      </w:r>
      <w:r w:rsidRPr="009B2CA6">
        <w:rPr>
          <w:rFonts w:ascii="Verdana" w:hAnsi="Verdana" w:cs="Times New Roman"/>
          <w:sz w:val="20"/>
          <w:szCs w:val="20"/>
        </w:rPr>
        <w:t xml:space="preserve">, </w:t>
      </w:r>
      <w:r w:rsidR="00A634F9" w:rsidRPr="009B2CA6">
        <w:rPr>
          <w:rFonts w:ascii="Verdana" w:hAnsi="Verdana" w:cs="Times New Roman"/>
          <w:sz w:val="20"/>
          <w:szCs w:val="20"/>
        </w:rPr>
        <w:t>tiene un</w:t>
      </w:r>
      <w:r w:rsidR="00046003" w:rsidRPr="009B2CA6">
        <w:rPr>
          <w:rFonts w:ascii="Verdana" w:hAnsi="Verdana" w:cs="Times New Roman"/>
          <w:sz w:val="20"/>
          <w:szCs w:val="20"/>
        </w:rPr>
        <w:t xml:space="preserve"> </w:t>
      </w:r>
      <w:r w:rsidR="00936926" w:rsidRPr="009B2CA6">
        <w:rPr>
          <w:rFonts w:ascii="Verdana" w:hAnsi="Verdana" w:cs="Times New Roman"/>
          <w:sz w:val="20"/>
          <w:szCs w:val="20"/>
        </w:rPr>
        <w:t xml:space="preserve">efecto </w:t>
      </w:r>
      <w:r w:rsidR="00046003" w:rsidRPr="009B2CA6">
        <w:rPr>
          <w:rFonts w:ascii="Verdana" w:hAnsi="Verdana" w:cs="Times New Roman"/>
          <w:sz w:val="20"/>
          <w:szCs w:val="20"/>
        </w:rPr>
        <w:t xml:space="preserve">de </w:t>
      </w:r>
      <w:r w:rsidR="00936926" w:rsidRPr="009B2CA6">
        <w:rPr>
          <w:rFonts w:ascii="Verdana" w:hAnsi="Verdana" w:cs="Times New Roman"/>
          <w:sz w:val="20"/>
          <w:szCs w:val="20"/>
        </w:rPr>
        <w:t>complementariedad</w:t>
      </w:r>
      <w:r w:rsidR="00046003" w:rsidRPr="009B2CA6">
        <w:rPr>
          <w:rFonts w:ascii="Verdana" w:hAnsi="Verdana" w:cs="Times New Roman"/>
          <w:sz w:val="20"/>
          <w:szCs w:val="20"/>
        </w:rPr>
        <w:t xml:space="preserve"> respecto al resto de reglas aplicables</w:t>
      </w:r>
      <w:r w:rsidR="00046003" w:rsidRPr="009B2CA6">
        <w:rPr>
          <w:rStyle w:val="Refdenotaalpie"/>
          <w:rFonts w:ascii="Verdana" w:hAnsi="Verdana" w:cs="Times New Roman"/>
          <w:sz w:val="20"/>
          <w:szCs w:val="20"/>
        </w:rPr>
        <w:footnoteReference w:id="63"/>
      </w:r>
      <w:r w:rsidR="001C2CF6" w:rsidRPr="009B2CA6">
        <w:rPr>
          <w:rFonts w:ascii="Verdana" w:hAnsi="Verdana" w:cs="Times New Roman"/>
          <w:sz w:val="20"/>
          <w:szCs w:val="20"/>
        </w:rPr>
        <w:t>.</w:t>
      </w:r>
      <w:r w:rsidR="00B22E52" w:rsidRPr="009B2CA6">
        <w:rPr>
          <w:rFonts w:ascii="Verdana" w:hAnsi="Verdana" w:cs="Times New Roman"/>
          <w:sz w:val="20"/>
          <w:szCs w:val="20"/>
        </w:rPr>
        <w:t xml:space="preserve"> </w:t>
      </w:r>
      <w:r w:rsidR="001C2CF6" w:rsidRPr="009B2CA6">
        <w:rPr>
          <w:rFonts w:ascii="Verdana" w:hAnsi="Verdana" w:cs="Times New Roman"/>
          <w:sz w:val="20"/>
          <w:szCs w:val="20"/>
        </w:rPr>
        <w:t>E</w:t>
      </w:r>
      <w:r w:rsidR="00B22E52" w:rsidRPr="009B2CA6">
        <w:rPr>
          <w:rFonts w:ascii="Verdana" w:hAnsi="Verdana" w:cs="Times New Roman"/>
          <w:sz w:val="20"/>
          <w:szCs w:val="20"/>
        </w:rPr>
        <w:t>stablece también</w:t>
      </w:r>
      <w:r w:rsidR="001C2CF6" w:rsidRPr="009B2CA6">
        <w:rPr>
          <w:rFonts w:ascii="Verdana" w:hAnsi="Verdana" w:cs="Times New Roman"/>
          <w:sz w:val="20"/>
          <w:szCs w:val="20"/>
        </w:rPr>
        <w:t xml:space="preserve"> algunas cláusulas de conflicto</w:t>
      </w:r>
      <w:r w:rsidR="00046003" w:rsidRPr="009B2CA6">
        <w:rPr>
          <w:rFonts w:ascii="Verdana" w:hAnsi="Verdana" w:cs="Times New Roman"/>
          <w:sz w:val="20"/>
          <w:szCs w:val="20"/>
        </w:rPr>
        <w:t xml:space="preserve">. </w:t>
      </w:r>
      <w:r w:rsidR="001615A3" w:rsidRPr="009B2CA6">
        <w:rPr>
          <w:rFonts w:ascii="Verdana" w:hAnsi="Verdana" w:cs="Times New Roman"/>
          <w:sz w:val="20"/>
          <w:szCs w:val="20"/>
        </w:rPr>
        <w:t>Su</w:t>
      </w:r>
      <w:r w:rsidRPr="009B2CA6">
        <w:rPr>
          <w:rFonts w:ascii="Verdana" w:hAnsi="Verdana" w:cs="Times New Roman"/>
          <w:sz w:val="20"/>
          <w:szCs w:val="20"/>
        </w:rPr>
        <w:t xml:space="preserve"> aplicación en los arbitrajes entablados en virt</w:t>
      </w:r>
      <w:r w:rsidR="0087682F" w:rsidRPr="009B2CA6">
        <w:rPr>
          <w:rFonts w:ascii="Verdana" w:hAnsi="Verdana" w:cs="Times New Roman"/>
          <w:sz w:val="20"/>
          <w:szCs w:val="20"/>
        </w:rPr>
        <w:t>ud de otras reglas de arbitraje</w:t>
      </w:r>
      <w:r w:rsidR="001C2CF6" w:rsidRPr="009B2CA6">
        <w:rPr>
          <w:rFonts w:ascii="Verdana" w:hAnsi="Verdana" w:cs="Times New Roman"/>
          <w:sz w:val="20"/>
          <w:szCs w:val="20"/>
        </w:rPr>
        <w:t xml:space="preserve"> no está exenta</w:t>
      </w:r>
      <w:r w:rsidRPr="009B2CA6">
        <w:rPr>
          <w:rFonts w:ascii="Verdana" w:hAnsi="Verdana" w:cs="Times New Roman"/>
          <w:sz w:val="20"/>
          <w:szCs w:val="20"/>
        </w:rPr>
        <w:t xml:space="preserve"> de colisionar o entrar en conflicto con aquellas. En este s</w:t>
      </w:r>
      <w:r w:rsidR="00A634F9" w:rsidRPr="009B2CA6">
        <w:rPr>
          <w:rFonts w:ascii="Verdana" w:hAnsi="Verdana" w:cs="Times New Roman"/>
          <w:sz w:val="20"/>
          <w:szCs w:val="20"/>
        </w:rPr>
        <w:t xml:space="preserve">entido, </w:t>
      </w:r>
      <w:r w:rsidR="00D8032F" w:rsidRPr="009B2CA6">
        <w:rPr>
          <w:rFonts w:ascii="Verdana" w:hAnsi="Verdana" w:cs="Times New Roman"/>
          <w:sz w:val="20"/>
          <w:szCs w:val="20"/>
        </w:rPr>
        <w:t>queda claro</w:t>
      </w:r>
      <w:r w:rsidR="00A634F9" w:rsidRPr="009B2CA6">
        <w:rPr>
          <w:rFonts w:ascii="Verdana" w:hAnsi="Verdana" w:cs="Times New Roman"/>
          <w:sz w:val="20"/>
          <w:szCs w:val="20"/>
        </w:rPr>
        <w:t xml:space="preserve"> que el Reglamento sobre </w:t>
      </w:r>
      <w:r w:rsidR="00D8032F" w:rsidRPr="009B2CA6">
        <w:rPr>
          <w:rFonts w:ascii="Verdana" w:hAnsi="Verdana" w:cs="Times New Roman"/>
          <w:sz w:val="20"/>
          <w:szCs w:val="20"/>
        </w:rPr>
        <w:t xml:space="preserve">la </w:t>
      </w:r>
      <w:r w:rsidR="00A634F9" w:rsidRPr="009B2CA6">
        <w:rPr>
          <w:rFonts w:ascii="Verdana" w:hAnsi="Verdana" w:cs="Times New Roman"/>
          <w:sz w:val="20"/>
          <w:szCs w:val="20"/>
        </w:rPr>
        <w:t>Transparencia</w:t>
      </w:r>
      <w:r w:rsidRPr="009B2CA6">
        <w:rPr>
          <w:rFonts w:ascii="Verdana" w:hAnsi="Verdana" w:cs="Times New Roman"/>
          <w:sz w:val="20"/>
          <w:szCs w:val="20"/>
        </w:rPr>
        <w:t xml:space="preserve"> es jerárquicamente superior</w:t>
      </w:r>
      <w:r w:rsidR="006C06F0" w:rsidRPr="009B2CA6">
        <w:rPr>
          <w:rFonts w:ascii="Verdana" w:hAnsi="Verdana" w:cs="Times New Roman"/>
          <w:sz w:val="20"/>
          <w:szCs w:val="20"/>
        </w:rPr>
        <w:t xml:space="preserve"> al resto d</w:t>
      </w:r>
      <w:r w:rsidR="00F5720C" w:rsidRPr="009B2CA6">
        <w:rPr>
          <w:rFonts w:ascii="Verdana" w:hAnsi="Verdana" w:cs="Times New Roman"/>
          <w:sz w:val="20"/>
          <w:szCs w:val="20"/>
        </w:rPr>
        <w:t>e las disposiciones conflictuales</w:t>
      </w:r>
      <w:r w:rsidR="006C06F0" w:rsidRPr="009B2CA6">
        <w:rPr>
          <w:rFonts w:ascii="Verdana" w:hAnsi="Verdana" w:cs="Times New Roman"/>
          <w:sz w:val="20"/>
          <w:szCs w:val="20"/>
        </w:rPr>
        <w:t xml:space="preserve"> </w:t>
      </w:r>
      <w:r w:rsidR="000B40C6" w:rsidRPr="009B2CA6">
        <w:rPr>
          <w:rFonts w:ascii="Verdana" w:hAnsi="Verdana" w:cs="Times New Roman"/>
          <w:sz w:val="20"/>
          <w:szCs w:val="20"/>
        </w:rPr>
        <w:t xml:space="preserve">de los reglamentos de </w:t>
      </w:r>
      <w:r w:rsidR="000B40C6" w:rsidRPr="009B2CA6">
        <w:rPr>
          <w:rFonts w:ascii="Verdana" w:hAnsi="Verdana" w:cs="Times New Roman"/>
          <w:sz w:val="20"/>
          <w:szCs w:val="20"/>
        </w:rPr>
        <w:lastRenderedPageBreak/>
        <w:t>arbitraje</w:t>
      </w:r>
      <w:r w:rsidR="006C06F0" w:rsidRPr="009B2CA6">
        <w:rPr>
          <w:rFonts w:ascii="Verdana" w:hAnsi="Verdana" w:cs="Times New Roman"/>
          <w:sz w:val="20"/>
          <w:szCs w:val="20"/>
        </w:rPr>
        <w:t xml:space="preserve"> aplicables</w:t>
      </w:r>
      <w:r w:rsidRPr="009B2CA6">
        <w:rPr>
          <w:rFonts w:ascii="Verdana" w:hAnsi="Verdana" w:cs="Times New Roman"/>
          <w:sz w:val="20"/>
          <w:szCs w:val="20"/>
        </w:rPr>
        <w:t>, donde e</w:t>
      </w:r>
      <w:r w:rsidR="00E55668" w:rsidRPr="009B2CA6">
        <w:rPr>
          <w:rFonts w:ascii="Verdana" w:hAnsi="Verdana" w:cs="Times New Roman"/>
          <w:sz w:val="20"/>
          <w:szCs w:val="20"/>
        </w:rPr>
        <w:t>n caso de conflicto siempre prevalecerá</w:t>
      </w:r>
      <w:r w:rsidRPr="009B2CA6">
        <w:rPr>
          <w:rFonts w:ascii="Verdana" w:hAnsi="Verdana" w:cs="Times New Roman"/>
          <w:sz w:val="20"/>
          <w:szCs w:val="20"/>
        </w:rPr>
        <w:t xml:space="preserve"> el Reglamento sobre </w:t>
      </w:r>
      <w:r w:rsidR="00D8032F" w:rsidRPr="009B2CA6">
        <w:rPr>
          <w:rFonts w:ascii="Verdana" w:hAnsi="Verdana" w:cs="Times New Roman"/>
          <w:sz w:val="20"/>
          <w:szCs w:val="20"/>
        </w:rPr>
        <w:t xml:space="preserve">la </w:t>
      </w:r>
      <w:r w:rsidRPr="009B2CA6">
        <w:rPr>
          <w:rFonts w:ascii="Verdana" w:hAnsi="Verdana" w:cs="Times New Roman"/>
          <w:sz w:val="20"/>
          <w:szCs w:val="20"/>
        </w:rPr>
        <w:t>Transparencia</w:t>
      </w:r>
      <w:r w:rsidR="00E55668" w:rsidRPr="009B2CA6">
        <w:rPr>
          <w:rStyle w:val="Refdenotaalpie"/>
          <w:rFonts w:ascii="Verdana" w:hAnsi="Verdana" w:cs="Times New Roman"/>
          <w:sz w:val="20"/>
          <w:szCs w:val="20"/>
        </w:rPr>
        <w:footnoteReference w:id="64"/>
      </w:r>
      <w:r w:rsidR="001F66D5" w:rsidRPr="009B2CA6">
        <w:rPr>
          <w:rFonts w:ascii="Verdana" w:hAnsi="Verdana" w:cs="Times New Roman"/>
          <w:sz w:val="20"/>
          <w:szCs w:val="20"/>
        </w:rPr>
        <w:t xml:space="preserve">. </w:t>
      </w:r>
    </w:p>
    <w:p w:rsidR="00046003" w:rsidRPr="009B2CA6" w:rsidRDefault="00F5720C"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En otro sentido</w:t>
      </w:r>
      <w:r w:rsidR="001F66D5" w:rsidRPr="009B2CA6">
        <w:rPr>
          <w:rFonts w:ascii="Verdana" w:hAnsi="Verdana" w:cs="Times New Roman"/>
          <w:sz w:val="20"/>
          <w:szCs w:val="20"/>
        </w:rPr>
        <w:t xml:space="preserve">, </w:t>
      </w:r>
      <w:r w:rsidR="006C06F0" w:rsidRPr="009B2CA6">
        <w:rPr>
          <w:rFonts w:ascii="Verdana" w:hAnsi="Verdana" w:cs="Times New Roman"/>
          <w:sz w:val="20"/>
          <w:szCs w:val="20"/>
        </w:rPr>
        <w:t>cuando el Reglamento sob</w:t>
      </w:r>
      <w:r w:rsidR="001A735B" w:rsidRPr="009B2CA6">
        <w:rPr>
          <w:rFonts w:ascii="Verdana" w:hAnsi="Verdana" w:cs="Times New Roman"/>
          <w:sz w:val="20"/>
          <w:szCs w:val="20"/>
        </w:rPr>
        <w:t>re</w:t>
      </w:r>
      <w:r w:rsidR="00432873" w:rsidRPr="009B2CA6">
        <w:rPr>
          <w:rFonts w:ascii="Verdana" w:hAnsi="Verdana" w:cs="Times New Roman"/>
          <w:sz w:val="20"/>
          <w:szCs w:val="20"/>
        </w:rPr>
        <w:t xml:space="preserve"> la</w:t>
      </w:r>
      <w:r w:rsidR="001A735B" w:rsidRPr="009B2CA6">
        <w:rPr>
          <w:rFonts w:ascii="Verdana" w:hAnsi="Verdana" w:cs="Times New Roman"/>
          <w:sz w:val="20"/>
          <w:szCs w:val="20"/>
        </w:rPr>
        <w:t xml:space="preserve"> Transparencia entra</w:t>
      </w:r>
      <w:r w:rsidR="006C06F0" w:rsidRPr="009B2CA6">
        <w:rPr>
          <w:rFonts w:ascii="Verdana" w:hAnsi="Verdana" w:cs="Times New Roman"/>
          <w:sz w:val="20"/>
          <w:szCs w:val="20"/>
        </w:rPr>
        <w:t xml:space="preserve"> en conflicto con el tratado, </w:t>
      </w:r>
      <w:r w:rsidR="001F66D5" w:rsidRPr="009B2CA6">
        <w:rPr>
          <w:rFonts w:ascii="Verdana" w:hAnsi="Verdana" w:cs="Times New Roman"/>
          <w:sz w:val="20"/>
          <w:szCs w:val="20"/>
        </w:rPr>
        <w:t>la cuest</w:t>
      </w:r>
      <w:r w:rsidR="00657196" w:rsidRPr="009B2CA6">
        <w:rPr>
          <w:rFonts w:ascii="Verdana" w:hAnsi="Verdana" w:cs="Times New Roman"/>
          <w:sz w:val="20"/>
          <w:szCs w:val="20"/>
        </w:rPr>
        <w:t>ión es distinta. Entonces</w:t>
      </w:r>
      <w:r w:rsidR="009719EC" w:rsidRPr="009B2CA6">
        <w:rPr>
          <w:rFonts w:ascii="Verdana" w:hAnsi="Verdana" w:cs="Times New Roman"/>
          <w:sz w:val="20"/>
          <w:szCs w:val="20"/>
        </w:rPr>
        <w:t xml:space="preserve"> </w:t>
      </w:r>
      <w:r w:rsidR="001F66D5" w:rsidRPr="009B2CA6">
        <w:rPr>
          <w:rFonts w:ascii="Verdana" w:hAnsi="Verdana" w:cs="Times New Roman"/>
          <w:sz w:val="20"/>
          <w:szCs w:val="20"/>
        </w:rPr>
        <w:t>prevalecerá</w:t>
      </w:r>
      <w:r w:rsidR="009719EC" w:rsidRPr="009B2CA6">
        <w:rPr>
          <w:rFonts w:ascii="Verdana" w:hAnsi="Verdana" w:cs="Times New Roman"/>
          <w:sz w:val="20"/>
          <w:szCs w:val="20"/>
        </w:rPr>
        <w:t>n</w:t>
      </w:r>
      <w:r w:rsidR="001F66D5" w:rsidRPr="009B2CA6">
        <w:rPr>
          <w:rFonts w:ascii="Verdana" w:hAnsi="Verdana" w:cs="Times New Roman"/>
          <w:sz w:val="20"/>
          <w:szCs w:val="20"/>
        </w:rPr>
        <w:t xml:space="preserve"> siempre </w:t>
      </w:r>
      <w:r w:rsidR="003C0C82" w:rsidRPr="009B2CA6">
        <w:rPr>
          <w:rFonts w:ascii="Verdana" w:hAnsi="Verdana" w:cs="Times New Roman"/>
          <w:sz w:val="20"/>
          <w:szCs w:val="20"/>
        </w:rPr>
        <w:t>las disposiciones d</w:t>
      </w:r>
      <w:r w:rsidR="001F66D5" w:rsidRPr="009B2CA6">
        <w:rPr>
          <w:rFonts w:ascii="Verdana" w:hAnsi="Verdana" w:cs="Times New Roman"/>
          <w:sz w:val="20"/>
          <w:szCs w:val="20"/>
        </w:rPr>
        <w:t>el tratado</w:t>
      </w:r>
      <w:r w:rsidR="00442B04" w:rsidRPr="009B2CA6">
        <w:rPr>
          <w:rStyle w:val="Refdenotaalpie"/>
          <w:rFonts w:ascii="Verdana" w:hAnsi="Verdana" w:cs="Times New Roman"/>
          <w:sz w:val="20"/>
          <w:szCs w:val="20"/>
        </w:rPr>
        <w:footnoteReference w:id="65"/>
      </w:r>
      <w:r w:rsidR="008A60BA" w:rsidRPr="009B2CA6">
        <w:rPr>
          <w:rFonts w:ascii="Verdana" w:hAnsi="Verdana" w:cs="Times New Roman"/>
          <w:sz w:val="20"/>
          <w:szCs w:val="20"/>
        </w:rPr>
        <w:t xml:space="preserve"> y, e</w:t>
      </w:r>
      <w:r w:rsidR="00341F36" w:rsidRPr="009B2CA6">
        <w:rPr>
          <w:rFonts w:ascii="Verdana" w:hAnsi="Verdana" w:cs="Times New Roman"/>
          <w:sz w:val="20"/>
          <w:szCs w:val="20"/>
        </w:rPr>
        <w:t>n caso de que el Reglam</w:t>
      </w:r>
      <w:r w:rsidR="009719EC" w:rsidRPr="009B2CA6">
        <w:rPr>
          <w:rFonts w:ascii="Verdana" w:hAnsi="Verdana" w:cs="Times New Roman"/>
          <w:sz w:val="20"/>
          <w:szCs w:val="20"/>
        </w:rPr>
        <w:t>ento entre en conflicto con el d</w:t>
      </w:r>
      <w:r w:rsidR="00341F36" w:rsidRPr="009B2CA6">
        <w:rPr>
          <w:rFonts w:ascii="Verdana" w:hAnsi="Verdana" w:cs="Times New Roman"/>
          <w:sz w:val="20"/>
          <w:szCs w:val="20"/>
        </w:rPr>
        <w:t xml:space="preserve">erecho aplicable al arbitraje, prevalecerán las disposiciones del </w:t>
      </w:r>
      <w:r w:rsidR="009719EC" w:rsidRPr="009B2CA6">
        <w:rPr>
          <w:rFonts w:ascii="Verdana" w:hAnsi="Verdana" w:cs="Times New Roman"/>
          <w:sz w:val="20"/>
          <w:szCs w:val="20"/>
        </w:rPr>
        <w:t>d</w:t>
      </w:r>
      <w:r w:rsidR="00341F36" w:rsidRPr="009B2CA6">
        <w:rPr>
          <w:rFonts w:ascii="Verdana" w:hAnsi="Verdana" w:cs="Times New Roman"/>
          <w:sz w:val="20"/>
          <w:szCs w:val="20"/>
        </w:rPr>
        <w:t>erecho aplicable</w:t>
      </w:r>
      <w:r w:rsidR="00341F36" w:rsidRPr="009B2CA6">
        <w:rPr>
          <w:rStyle w:val="Refdenotaalpie"/>
          <w:rFonts w:ascii="Verdana" w:hAnsi="Verdana" w:cs="Times New Roman"/>
          <w:sz w:val="20"/>
          <w:szCs w:val="20"/>
        </w:rPr>
        <w:footnoteReference w:id="66"/>
      </w:r>
      <w:r w:rsidR="001A735B" w:rsidRPr="009B2CA6">
        <w:rPr>
          <w:rFonts w:ascii="Verdana" w:hAnsi="Verdana" w:cs="Times New Roman"/>
          <w:sz w:val="20"/>
          <w:szCs w:val="20"/>
        </w:rPr>
        <w:t xml:space="preserve">. </w:t>
      </w:r>
      <w:r w:rsidR="008F68BA">
        <w:rPr>
          <w:rFonts w:ascii="Verdana" w:hAnsi="Verdana" w:cs="Times New Roman"/>
          <w:sz w:val="20"/>
          <w:szCs w:val="20"/>
        </w:rPr>
        <w:t>De esta manera</w:t>
      </w:r>
      <w:r w:rsidR="005250F2" w:rsidRPr="009B2CA6">
        <w:rPr>
          <w:rFonts w:ascii="Verdana" w:hAnsi="Verdana" w:cs="Times New Roman"/>
          <w:sz w:val="20"/>
          <w:szCs w:val="20"/>
        </w:rPr>
        <w:t xml:space="preserve">, el propio Reglamento </w:t>
      </w:r>
      <w:r w:rsidR="00E55668" w:rsidRPr="009B2CA6">
        <w:rPr>
          <w:rFonts w:ascii="Verdana" w:hAnsi="Verdana" w:cs="Times New Roman"/>
          <w:sz w:val="20"/>
          <w:szCs w:val="20"/>
        </w:rPr>
        <w:t>reconoce</w:t>
      </w:r>
      <w:r w:rsidR="001A735B" w:rsidRPr="009B2CA6">
        <w:rPr>
          <w:rFonts w:ascii="Verdana" w:hAnsi="Verdana" w:cs="Times New Roman"/>
          <w:sz w:val="20"/>
          <w:szCs w:val="20"/>
        </w:rPr>
        <w:t xml:space="preserve"> el principio de que las reglas de arbitraje no pueden prevalecer sobre leyes obligatorias para las partes.</w:t>
      </w:r>
      <w:r w:rsidR="00341F36" w:rsidRPr="009B2CA6">
        <w:rPr>
          <w:rFonts w:ascii="Verdana" w:hAnsi="Verdana" w:cs="Times New Roman"/>
          <w:sz w:val="20"/>
          <w:szCs w:val="20"/>
        </w:rPr>
        <w:t xml:space="preserve"> </w:t>
      </w:r>
      <w:r w:rsidRPr="009B2CA6">
        <w:rPr>
          <w:rFonts w:ascii="Verdana" w:hAnsi="Verdana" w:cs="Times New Roman"/>
          <w:sz w:val="20"/>
          <w:szCs w:val="20"/>
        </w:rPr>
        <w:t xml:space="preserve">Sin embargo, </w:t>
      </w:r>
      <w:r w:rsidR="00D33FC7" w:rsidRPr="009B2CA6">
        <w:rPr>
          <w:rFonts w:ascii="Verdana" w:hAnsi="Verdana" w:cs="Times New Roman"/>
          <w:sz w:val="20"/>
          <w:szCs w:val="20"/>
        </w:rPr>
        <w:t xml:space="preserve">el Reglamento </w:t>
      </w:r>
      <w:r w:rsidR="00657196" w:rsidRPr="009B2CA6">
        <w:rPr>
          <w:rFonts w:ascii="Verdana" w:hAnsi="Verdana" w:cs="Times New Roman"/>
          <w:sz w:val="20"/>
          <w:szCs w:val="20"/>
        </w:rPr>
        <w:t xml:space="preserve">omite toda referencia </w:t>
      </w:r>
      <w:r w:rsidR="00D33FC7" w:rsidRPr="009B2CA6">
        <w:rPr>
          <w:rFonts w:ascii="Verdana" w:hAnsi="Verdana" w:cs="Times New Roman"/>
          <w:sz w:val="20"/>
          <w:szCs w:val="20"/>
        </w:rPr>
        <w:t>al grado de transparencia que puedan establecer los futuros tratados cuando éstos entren en conflicto con el propio R</w:t>
      </w:r>
      <w:r w:rsidR="001C2CF6" w:rsidRPr="009B2CA6">
        <w:rPr>
          <w:rFonts w:ascii="Verdana" w:hAnsi="Verdana" w:cs="Times New Roman"/>
          <w:sz w:val="20"/>
          <w:szCs w:val="20"/>
        </w:rPr>
        <w:t>eglamento.</w:t>
      </w:r>
      <w:r w:rsidR="00D33FC7" w:rsidRPr="009B2CA6">
        <w:rPr>
          <w:rFonts w:ascii="Verdana" w:hAnsi="Verdana" w:cs="Times New Roman"/>
          <w:sz w:val="20"/>
          <w:szCs w:val="20"/>
        </w:rPr>
        <w:t xml:space="preserve"> </w:t>
      </w:r>
      <w:r w:rsidR="001C2CF6" w:rsidRPr="009B2CA6">
        <w:rPr>
          <w:rFonts w:ascii="Verdana" w:hAnsi="Verdana" w:cs="Times New Roman"/>
          <w:sz w:val="20"/>
          <w:szCs w:val="20"/>
        </w:rPr>
        <w:t>O</w:t>
      </w:r>
      <w:r w:rsidR="00D33FC7" w:rsidRPr="009B2CA6">
        <w:rPr>
          <w:rFonts w:ascii="Verdana" w:hAnsi="Verdana" w:cs="Times New Roman"/>
          <w:sz w:val="20"/>
          <w:szCs w:val="20"/>
        </w:rPr>
        <w:t xml:space="preserve"> sea,</w:t>
      </w:r>
      <w:r w:rsidRPr="009B2CA6">
        <w:rPr>
          <w:rFonts w:ascii="Verdana" w:hAnsi="Verdana" w:cs="Times New Roman"/>
          <w:sz w:val="20"/>
          <w:szCs w:val="20"/>
        </w:rPr>
        <w:t xml:space="preserve"> teniendo en cuenta la prevalencia absoluta de dichos tratados sobre el Reglamento, </w:t>
      </w:r>
      <w:r w:rsidR="00D33FC7" w:rsidRPr="009B2CA6">
        <w:rPr>
          <w:rFonts w:ascii="Verdana" w:hAnsi="Verdana" w:cs="Times New Roman"/>
          <w:sz w:val="20"/>
          <w:szCs w:val="20"/>
        </w:rPr>
        <w:t>puede darse el caso de que</w:t>
      </w:r>
      <w:r w:rsidRPr="009B2CA6">
        <w:rPr>
          <w:rFonts w:ascii="Verdana" w:hAnsi="Verdana" w:cs="Times New Roman"/>
          <w:sz w:val="20"/>
          <w:szCs w:val="20"/>
        </w:rPr>
        <w:t xml:space="preserve"> futuros T</w:t>
      </w:r>
      <w:r w:rsidR="003E4E0D" w:rsidRPr="009B2CA6">
        <w:rPr>
          <w:rFonts w:ascii="Verdana" w:hAnsi="Verdana" w:cs="Times New Roman"/>
          <w:sz w:val="20"/>
          <w:szCs w:val="20"/>
        </w:rPr>
        <w:t xml:space="preserve">ratados </w:t>
      </w:r>
      <w:r w:rsidRPr="009B2CA6">
        <w:rPr>
          <w:rFonts w:ascii="Verdana" w:hAnsi="Verdana" w:cs="Times New Roman"/>
          <w:sz w:val="20"/>
          <w:szCs w:val="20"/>
        </w:rPr>
        <w:t>B</w:t>
      </w:r>
      <w:r w:rsidR="003E4E0D" w:rsidRPr="009B2CA6">
        <w:rPr>
          <w:rFonts w:ascii="Verdana" w:hAnsi="Verdana" w:cs="Times New Roman"/>
          <w:sz w:val="20"/>
          <w:szCs w:val="20"/>
        </w:rPr>
        <w:t xml:space="preserve">ilaterales de </w:t>
      </w:r>
      <w:r w:rsidRPr="009B2CA6">
        <w:rPr>
          <w:rFonts w:ascii="Verdana" w:hAnsi="Verdana" w:cs="Times New Roman"/>
          <w:sz w:val="20"/>
          <w:szCs w:val="20"/>
        </w:rPr>
        <w:t>I</w:t>
      </w:r>
      <w:r w:rsidR="003E4E0D" w:rsidRPr="009B2CA6">
        <w:rPr>
          <w:rFonts w:ascii="Verdana" w:hAnsi="Verdana" w:cs="Times New Roman"/>
          <w:sz w:val="20"/>
          <w:szCs w:val="20"/>
        </w:rPr>
        <w:t>nversión (TBI)</w:t>
      </w:r>
      <w:r w:rsidRPr="009B2CA6">
        <w:rPr>
          <w:rFonts w:ascii="Verdana" w:hAnsi="Verdana" w:cs="Times New Roman"/>
          <w:sz w:val="20"/>
          <w:szCs w:val="20"/>
        </w:rPr>
        <w:t xml:space="preserve"> </w:t>
      </w:r>
      <w:r w:rsidR="00541C1F" w:rsidRPr="009B2CA6">
        <w:rPr>
          <w:rFonts w:ascii="Verdana" w:hAnsi="Verdana" w:cs="Times New Roman"/>
          <w:sz w:val="20"/>
          <w:szCs w:val="20"/>
        </w:rPr>
        <w:t xml:space="preserve">proporcionen un </w:t>
      </w:r>
      <w:r w:rsidR="00D33FC7" w:rsidRPr="009B2CA6">
        <w:rPr>
          <w:rFonts w:ascii="Verdana" w:hAnsi="Verdana" w:cs="Times New Roman"/>
          <w:sz w:val="20"/>
          <w:szCs w:val="20"/>
        </w:rPr>
        <w:t xml:space="preserve">grado </w:t>
      </w:r>
      <w:r w:rsidR="00541C1F" w:rsidRPr="009B2CA6">
        <w:rPr>
          <w:rFonts w:ascii="Verdana" w:hAnsi="Verdana" w:cs="Times New Roman"/>
          <w:sz w:val="20"/>
          <w:szCs w:val="20"/>
        </w:rPr>
        <w:t xml:space="preserve">mayor o menor </w:t>
      </w:r>
      <w:r w:rsidR="009F4C03" w:rsidRPr="009B2CA6">
        <w:rPr>
          <w:rFonts w:ascii="Verdana" w:hAnsi="Verdana" w:cs="Times New Roman"/>
          <w:sz w:val="20"/>
          <w:szCs w:val="20"/>
        </w:rPr>
        <w:t xml:space="preserve">de </w:t>
      </w:r>
      <w:r w:rsidR="00541C1F" w:rsidRPr="009B2CA6">
        <w:rPr>
          <w:rFonts w:ascii="Verdana" w:hAnsi="Verdana" w:cs="Times New Roman"/>
          <w:sz w:val="20"/>
          <w:szCs w:val="20"/>
        </w:rPr>
        <w:t>transparencia</w:t>
      </w:r>
      <w:r w:rsidR="009F4C03" w:rsidRPr="009B2CA6">
        <w:rPr>
          <w:rFonts w:ascii="Verdana" w:hAnsi="Verdana" w:cs="Times New Roman"/>
          <w:sz w:val="20"/>
          <w:szCs w:val="20"/>
        </w:rPr>
        <w:t xml:space="preserve"> respecto al Reglamento</w:t>
      </w:r>
      <w:r w:rsidR="001C2CF6" w:rsidRPr="009B2CA6">
        <w:rPr>
          <w:rFonts w:ascii="Verdana" w:hAnsi="Verdana" w:cs="Times New Roman"/>
          <w:sz w:val="20"/>
          <w:szCs w:val="20"/>
        </w:rPr>
        <w:t>.</w:t>
      </w:r>
      <w:r w:rsidR="00865B08" w:rsidRPr="009B2CA6">
        <w:rPr>
          <w:rFonts w:ascii="Verdana" w:hAnsi="Verdana" w:cs="Times New Roman"/>
          <w:sz w:val="20"/>
          <w:szCs w:val="20"/>
        </w:rPr>
        <w:t xml:space="preserve"> </w:t>
      </w:r>
    </w:p>
    <w:p w:rsidR="005770CE" w:rsidRPr="009B2CA6" w:rsidRDefault="00A526AD"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Sin embargo, la propia CNUDMI en busca de una mayor garantía y seguridad respecto a la aplicación de las normas de transparencia en todos los arbitrajes de inversiones, ha </w:t>
      </w:r>
      <w:r w:rsidR="00DF6F96" w:rsidRPr="009B2CA6">
        <w:rPr>
          <w:rFonts w:ascii="Verdana" w:hAnsi="Verdana" w:cs="Times New Roman"/>
          <w:sz w:val="20"/>
          <w:szCs w:val="20"/>
        </w:rPr>
        <w:t xml:space="preserve">instado </w:t>
      </w:r>
      <w:r w:rsidR="0071650D" w:rsidRPr="009B2CA6">
        <w:rPr>
          <w:rFonts w:ascii="Verdana" w:hAnsi="Verdana" w:cs="Times New Roman"/>
          <w:sz w:val="20"/>
          <w:szCs w:val="20"/>
        </w:rPr>
        <w:t>a la creación de una Convención con el objetivo de que la misma sea asumida obligatoriamente por cada uno de los Estados firmante</w:t>
      </w:r>
      <w:r w:rsidR="00432873" w:rsidRPr="009B2CA6">
        <w:rPr>
          <w:rFonts w:ascii="Verdana" w:hAnsi="Verdana" w:cs="Times New Roman"/>
          <w:sz w:val="20"/>
          <w:szCs w:val="20"/>
        </w:rPr>
        <w:t>s</w:t>
      </w:r>
      <w:r w:rsidR="0071650D" w:rsidRPr="009B2CA6">
        <w:rPr>
          <w:rFonts w:ascii="Verdana" w:hAnsi="Verdana" w:cs="Times New Roman"/>
          <w:sz w:val="20"/>
          <w:szCs w:val="20"/>
        </w:rPr>
        <w:t xml:space="preserve"> como norma interna en sus ordenamientos jurídicos. </w:t>
      </w:r>
      <w:r w:rsidR="006E7DD4" w:rsidRPr="009B2CA6">
        <w:rPr>
          <w:rFonts w:ascii="Verdana" w:hAnsi="Verdana" w:cs="Times New Roman"/>
          <w:sz w:val="20"/>
          <w:szCs w:val="20"/>
        </w:rPr>
        <w:t>De este modo surgió</w:t>
      </w:r>
      <w:r w:rsidR="0071650D" w:rsidRPr="009B2CA6">
        <w:rPr>
          <w:rFonts w:ascii="Verdana" w:hAnsi="Verdana" w:cs="Times New Roman"/>
          <w:sz w:val="20"/>
          <w:szCs w:val="20"/>
        </w:rPr>
        <w:t xml:space="preserve"> </w:t>
      </w:r>
      <w:r w:rsidR="00DF6F96" w:rsidRPr="009B2CA6">
        <w:rPr>
          <w:rFonts w:ascii="Verdana" w:hAnsi="Verdana" w:cs="Times New Roman"/>
          <w:sz w:val="20"/>
          <w:szCs w:val="20"/>
        </w:rPr>
        <w:t>la Convención</w:t>
      </w:r>
      <w:r w:rsidRPr="009B2CA6">
        <w:rPr>
          <w:rFonts w:ascii="Verdana" w:hAnsi="Verdana" w:cs="Times New Roman"/>
          <w:sz w:val="20"/>
          <w:szCs w:val="20"/>
        </w:rPr>
        <w:t xml:space="preserve"> sobre</w:t>
      </w:r>
      <w:r w:rsidR="00432873" w:rsidRPr="009B2CA6">
        <w:rPr>
          <w:rFonts w:ascii="Verdana" w:hAnsi="Verdana" w:cs="Times New Roman"/>
          <w:sz w:val="20"/>
          <w:szCs w:val="20"/>
        </w:rPr>
        <w:t xml:space="preserve"> la</w:t>
      </w:r>
      <w:r w:rsidRPr="009B2CA6">
        <w:rPr>
          <w:rFonts w:ascii="Verdana" w:hAnsi="Verdana" w:cs="Times New Roman"/>
          <w:sz w:val="20"/>
          <w:szCs w:val="20"/>
        </w:rPr>
        <w:t xml:space="preserve"> Transparencia</w:t>
      </w:r>
      <w:r w:rsidR="00DF6F96" w:rsidRPr="009B2CA6">
        <w:rPr>
          <w:rFonts w:ascii="Verdana" w:hAnsi="Verdana" w:cs="Times New Roman"/>
          <w:sz w:val="20"/>
          <w:szCs w:val="20"/>
        </w:rPr>
        <w:t>, la cual fue creada y aprobada por las Naciones Unidas</w:t>
      </w:r>
      <w:r w:rsidR="00344986" w:rsidRPr="009B2CA6">
        <w:rPr>
          <w:rFonts w:ascii="Verdana" w:hAnsi="Verdana" w:cs="Times New Roman"/>
          <w:sz w:val="20"/>
          <w:szCs w:val="20"/>
        </w:rPr>
        <w:t>. Cuestión é</w:t>
      </w:r>
      <w:r w:rsidR="00DF6F96" w:rsidRPr="009B2CA6">
        <w:rPr>
          <w:rFonts w:ascii="Verdana" w:hAnsi="Verdana" w:cs="Times New Roman"/>
          <w:sz w:val="20"/>
          <w:szCs w:val="20"/>
        </w:rPr>
        <w:t>sta que favorece la aplicación de las nor</w:t>
      </w:r>
      <w:r w:rsidR="009719EC" w:rsidRPr="009B2CA6">
        <w:rPr>
          <w:rFonts w:ascii="Verdana" w:hAnsi="Verdana" w:cs="Times New Roman"/>
          <w:sz w:val="20"/>
          <w:szCs w:val="20"/>
        </w:rPr>
        <w:t>mas de transparencia,</w:t>
      </w:r>
      <w:r w:rsidR="00DF6F96" w:rsidRPr="009B2CA6">
        <w:rPr>
          <w:rFonts w:ascii="Verdana" w:hAnsi="Verdana" w:cs="Times New Roman"/>
          <w:sz w:val="20"/>
          <w:szCs w:val="20"/>
        </w:rPr>
        <w:t xml:space="preserve"> evita el conflicto de l</w:t>
      </w:r>
      <w:r w:rsidR="008666B1" w:rsidRPr="009B2CA6">
        <w:rPr>
          <w:rFonts w:ascii="Verdana" w:hAnsi="Verdana" w:cs="Times New Roman"/>
          <w:sz w:val="20"/>
          <w:szCs w:val="20"/>
        </w:rPr>
        <w:t>eyes que pudiera surgir</w:t>
      </w:r>
      <w:r w:rsidR="0071650D" w:rsidRPr="009B2CA6">
        <w:rPr>
          <w:rFonts w:ascii="Verdana" w:hAnsi="Verdana" w:cs="Times New Roman"/>
          <w:sz w:val="20"/>
          <w:szCs w:val="20"/>
        </w:rPr>
        <w:t xml:space="preserve"> respecto a la aplicación del Reglamento y </w:t>
      </w:r>
      <w:r w:rsidR="009719EC" w:rsidRPr="009B2CA6">
        <w:rPr>
          <w:rFonts w:ascii="Verdana" w:hAnsi="Verdana" w:cs="Times New Roman"/>
          <w:sz w:val="20"/>
          <w:szCs w:val="20"/>
        </w:rPr>
        <w:t>el D</w:t>
      </w:r>
      <w:r w:rsidR="008666B1" w:rsidRPr="009B2CA6">
        <w:rPr>
          <w:rFonts w:ascii="Verdana" w:hAnsi="Verdana" w:cs="Times New Roman"/>
          <w:sz w:val="20"/>
          <w:szCs w:val="20"/>
        </w:rPr>
        <w:t>erecho aplicable</w:t>
      </w:r>
      <w:r w:rsidR="0071650D" w:rsidRPr="009B2CA6">
        <w:rPr>
          <w:rFonts w:ascii="Verdana" w:hAnsi="Verdana" w:cs="Times New Roman"/>
          <w:sz w:val="20"/>
          <w:szCs w:val="20"/>
        </w:rPr>
        <w:t xml:space="preserve">, encontrándose dentro </w:t>
      </w:r>
      <w:r w:rsidR="009719EC" w:rsidRPr="009B2CA6">
        <w:rPr>
          <w:rFonts w:ascii="Verdana" w:hAnsi="Verdana" w:cs="Times New Roman"/>
          <w:sz w:val="20"/>
          <w:szCs w:val="20"/>
        </w:rPr>
        <w:t>de</w:t>
      </w:r>
      <w:r w:rsidR="008666B1" w:rsidRPr="009B2CA6">
        <w:rPr>
          <w:rFonts w:ascii="Verdana" w:hAnsi="Verdana" w:cs="Times New Roman"/>
          <w:sz w:val="20"/>
          <w:szCs w:val="20"/>
        </w:rPr>
        <w:t xml:space="preserve"> éste último</w:t>
      </w:r>
      <w:r w:rsidR="0071650D" w:rsidRPr="009B2CA6">
        <w:rPr>
          <w:rFonts w:ascii="Verdana" w:hAnsi="Verdana" w:cs="Times New Roman"/>
          <w:sz w:val="20"/>
          <w:szCs w:val="20"/>
        </w:rPr>
        <w:t xml:space="preserve"> las propias normas de transparencia asumidas en la Convención sobre </w:t>
      </w:r>
      <w:r w:rsidR="008666B1" w:rsidRPr="009B2CA6">
        <w:rPr>
          <w:rFonts w:ascii="Verdana" w:hAnsi="Verdana" w:cs="Times New Roman"/>
          <w:sz w:val="20"/>
          <w:szCs w:val="20"/>
        </w:rPr>
        <w:t xml:space="preserve">la </w:t>
      </w:r>
      <w:r w:rsidR="008F68BA">
        <w:rPr>
          <w:rFonts w:ascii="Verdana" w:hAnsi="Verdana" w:cs="Times New Roman"/>
          <w:sz w:val="20"/>
          <w:szCs w:val="20"/>
        </w:rPr>
        <w:t>Transparencia</w:t>
      </w:r>
      <w:r w:rsidR="00344986" w:rsidRPr="009B2CA6">
        <w:rPr>
          <w:rFonts w:ascii="Verdana" w:hAnsi="Verdana" w:cs="Times New Roman"/>
          <w:sz w:val="20"/>
          <w:szCs w:val="20"/>
        </w:rPr>
        <w:t xml:space="preserve"> o</w:t>
      </w:r>
      <w:r w:rsidR="0071650D" w:rsidRPr="009B2CA6">
        <w:rPr>
          <w:rFonts w:ascii="Verdana" w:hAnsi="Verdana" w:cs="Times New Roman"/>
          <w:sz w:val="20"/>
          <w:szCs w:val="20"/>
        </w:rPr>
        <w:t xml:space="preserve"> Convención de Mauricio sobre la Transparencia, como internacionalmente se le reconoce. </w:t>
      </w:r>
      <w:r w:rsidR="00DF6F96" w:rsidRPr="009B2CA6">
        <w:rPr>
          <w:rFonts w:ascii="Verdana" w:hAnsi="Verdana" w:cs="Times New Roman"/>
          <w:sz w:val="20"/>
          <w:szCs w:val="20"/>
        </w:rPr>
        <w:t xml:space="preserve"> </w:t>
      </w:r>
    </w:p>
    <w:p w:rsidR="00251FD3" w:rsidRDefault="00DF6F96" w:rsidP="00BB5402">
      <w:pPr>
        <w:pStyle w:val="Contenidodelatabla"/>
        <w:rPr>
          <w:rFonts w:ascii="Times New Roman" w:hAnsi="Times New Roman" w:cs="Times New Roman"/>
          <w:b/>
          <w:sz w:val="24"/>
          <w:szCs w:val="24"/>
        </w:rPr>
      </w:pPr>
      <w:r>
        <w:rPr>
          <w:rFonts w:ascii="Times New Roman" w:hAnsi="Times New Roman" w:cs="Times New Roman"/>
          <w:sz w:val="24"/>
          <w:szCs w:val="24"/>
        </w:rPr>
        <w:t xml:space="preserve"> </w:t>
      </w:r>
    </w:p>
    <w:p w:rsidR="00CE169C" w:rsidRPr="009B2CA6" w:rsidRDefault="00E0258A" w:rsidP="006D3AD5">
      <w:pPr>
        <w:pStyle w:val="Contenidodelatabla"/>
        <w:spacing w:line="240" w:lineRule="auto"/>
        <w:ind w:firstLine="0"/>
        <w:outlineLvl w:val="2"/>
        <w:rPr>
          <w:rFonts w:ascii="Verdana" w:hAnsi="Verdana" w:cs="Times New Roman"/>
          <w:sz w:val="20"/>
          <w:szCs w:val="20"/>
        </w:rPr>
      </w:pPr>
      <w:bookmarkStart w:id="37" w:name="_Toc536741921"/>
      <w:bookmarkStart w:id="38" w:name="_Toc1224443"/>
      <w:r w:rsidRPr="009B2CA6">
        <w:rPr>
          <w:rFonts w:ascii="Verdana" w:hAnsi="Verdana" w:cs="Times New Roman"/>
          <w:b/>
          <w:sz w:val="20"/>
          <w:szCs w:val="20"/>
        </w:rPr>
        <w:t>4.1.5</w:t>
      </w:r>
      <w:r w:rsidR="00CE169C" w:rsidRPr="009B2CA6">
        <w:rPr>
          <w:rFonts w:ascii="Verdana" w:hAnsi="Verdana" w:cs="Times New Roman"/>
          <w:b/>
          <w:sz w:val="20"/>
          <w:szCs w:val="20"/>
        </w:rPr>
        <w:t xml:space="preserve"> Aplicación en arbitrajes que no estén sujetos al Reglamento de Arbitraje de la CNUDMI.</w:t>
      </w:r>
      <w:bookmarkEnd w:id="37"/>
      <w:bookmarkEnd w:id="38"/>
    </w:p>
    <w:p w:rsidR="00251FD3" w:rsidRPr="009B2CA6" w:rsidRDefault="004F2385" w:rsidP="006D3AD5">
      <w:pPr>
        <w:pStyle w:val="Contenidodelatabla"/>
        <w:spacing w:line="240" w:lineRule="auto"/>
        <w:rPr>
          <w:rFonts w:ascii="Verdana" w:hAnsi="Verdana" w:cs="Times New Roman"/>
          <w:sz w:val="20"/>
          <w:szCs w:val="20"/>
        </w:rPr>
      </w:pPr>
      <w:r w:rsidRPr="009B2CA6">
        <w:rPr>
          <w:rFonts w:ascii="Verdana" w:hAnsi="Verdana" w:cs="Times New Roman"/>
          <w:sz w:val="20"/>
          <w:szCs w:val="20"/>
        </w:rPr>
        <w:t xml:space="preserve">El Reglamento sobre </w:t>
      </w:r>
      <w:r w:rsidR="00BB34D7" w:rsidRPr="009B2CA6">
        <w:rPr>
          <w:rFonts w:ascii="Verdana" w:hAnsi="Verdana" w:cs="Times New Roman"/>
          <w:sz w:val="20"/>
          <w:szCs w:val="20"/>
        </w:rPr>
        <w:t xml:space="preserve">la </w:t>
      </w:r>
      <w:r w:rsidRPr="009B2CA6">
        <w:rPr>
          <w:rFonts w:ascii="Verdana" w:hAnsi="Verdana" w:cs="Times New Roman"/>
          <w:sz w:val="20"/>
          <w:szCs w:val="20"/>
        </w:rPr>
        <w:t>Transparencia, en busca de una mayor expansión y reconocimiento del mismo a nivel internacional en el arbitraje</w:t>
      </w:r>
      <w:r w:rsidR="0064178C" w:rsidRPr="009B2CA6">
        <w:rPr>
          <w:rFonts w:ascii="Verdana" w:hAnsi="Verdana" w:cs="Times New Roman"/>
          <w:sz w:val="20"/>
          <w:szCs w:val="20"/>
        </w:rPr>
        <w:t xml:space="preserve"> inversionista-Estado, así como</w:t>
      </w:r>
      <w:r w:rsidRPr="009B2CA6">
        <w:rPr>
          <w:rFonts w:ascii="Verdana" w:hAnsi="Verdana" w:cs="Times New Roman"/>
          <w:sz w:val="20"/>
          <w:szCs w:val="20"/>
        </w:rPr>
        <w:t xml:space="preserve"> la existencia de un marco jurídico armonizado</w:t>
      </w:r>
      <w:r w:rsidRPr="009B2CA6">
        <w:rPr>
          <w:rStyle w:val="Refdenotaalpie"/>
          <w:rFonts w:ascii="Verdana" w:hAnsi="Verdana" w:cs="Times New Roman"/>
          <w:sz w:val="20"/>
          <w:szCs w:val="20"/>
        </w:rPr>
        <w:footnoteReference w:id="67"/>
      </w:r>
      <w:r w:rsidRPr="009B2CA6">
        <w:rPr>
          <w:rFonts w:ascii="Verdana" w:hAnsi="Verdana" w:cs="Times New Roman"/>
          <w:sz w:val="20"/>
          <w:szCs w:val="20"/>
        </w:rPr>
        <w:t xml:space="preserve"> respecto a la transparencia en </w:t>
      </w:r>
      <w:r w:rsidR="009719EC" w:rsidRPr="009B2CA6">
        <w:rPr>
          <w:rFonts w:ascii="Verdana" w:hAnsi="Verdana" w:cs="Times New Roman"/>
          <w:sz w:val="20"/>
          <w:szCs w:val="20"/>
        </w:rPr>
        <w:t>este tipo de arbitraje, e</w:t>
      </w:r>
      <w:r w:rsidR="00786CC9" w:rsidRPr="009B2CA6">
        <w:rPr>
          <w:rFonts w:ascii="Verdana" w:hAnsi="Verdana" w:cs="Times New Roman"/>
          <w:sz w:val="20"/>
          <w:szCs w:val="20"/>
        </w:rPr>
        <w:t xml:space="preserve">s también aplicable a los </w:t>
      </w:r>
      <w:r w:rsidR="005770CE" w:rsidRPr="009B2CA6">
        <w:rPr>
          <w:rFonts w:ascii="Verdana" w:hAnsi="Verdana" w:cs="Times New Roman"/>
          <w:sz w:val="20"/>
          <w:szCs w:val="20"/>
        </w:rPr>
        <w:t>arbitrajes inversionista-Estado</w:t>
      </w:r>
      <w:r w:rsidR="00786CC9" w:rsidRPr="009B2CA6">
        <w:rPr>
          <w:rFonts w:ascii="Verdana" w:hAnsi="Verdana" w:cs="Times New Roman"/>
          <w:sz w:val="20"/>
          <w:szCs w:val="20"/>
        </w:rPr>
        <w:t xml:space="preserve"> entablados de conformidad con otros reglamentos distintos a la CNUDMI, </w:t>
      </w:r>
      <w:r w:rsidR="00C206CC" w:rsidRPr="009B2CA6">
        <w:rPr>
          <w:rFonts w:ascii="Verdana" w:hAnsi="Verdana" w:cs="Times New Roman"/>
          <w:sz w:val="20"/>
          <w:szCs w:val="20"/>
        </w:rPr>
        <w:t xml:space="preserve">como pueden ser los arbitrajes de inversiones </w:t>
      </w:r>
      <w:r w:rsidR="005770CE" w:rsidRPr="009B2CA6">
        <w:rPr>
          <w:rFonts w:ascii="Verdana" w:hAnsi="Verdana" w:cs="Times New Roman"/>
          <w:sz w:val="20"/>
          <w:szCs w:val="20"/>
        </w:rPr>
        <w:t>celebrados bajo</w:t>
      </w:r>
      <w:r w:rsidR="009719EC" w:rsidRPr="009B2CA6">
        <w:rPr>
          <w:rFonts w:ascii="Verdana" w:hAnsi="Verdana" w:cs="Times New Roman"/>
          <w:sz w:val="20"/>
          <w:szCs w:val="20"/>
        </w:rPr>
        <w:t xml:space="preserve"> las R</w:t>
      </w:r>
      <w:r w:rsidR="00C206CC" w:rsidRPr="009B2CA6">
        <w:rPr>
          <w:rFonts w:ascii="Verdana" w:hAnsi="Verdana" w:cs="Times New Roman"/>
          <w:sz w:val="20"/>
          <w:szCs w:val="20"/>
        </w:rPr>
        <w:t>eglas de Arbitraje del CIADI</w:t>
      </w:r>
      <w:r w:rsidR="009719EC" w:rsidRPr="009B2CA6">
        <w:rPr>
          <w:rFonts w:ascii="Verdana" w:hAnsi="Verdana" w:cs="Times New Roman"/>
          <w:sz w:val="20"/>
          <w:szCs w:val="20"/>
        </w:rPr>
        <w:t>,</w:t>
      </w:r>
      <w:r w:rsidR="00823E81" w:rsidRPr="009B2CA6">
        <w:rPr>
          <w:rFonts w:ascii="Verdana" w:hAnsi="Verdana" w:cs="Times New Roman"/>
          <w:sz w:val="20"/>
          <w:szCs w:val="20"/>
        </w:rPr>
        <w:t xml:space="preserve"> ya que el </w:t>
      </w:r>
      <w:r w:rsidR="00BB34D7" w:rsidRPr="009B2CA6">
        <w:rPr>
          <w:rFonts w:ascii="Verdana" w:hAnsi="Verdana" w:cs="Times New Roman"/>
          <w:sz w:val="20"/>
          <w:szCs w:val="20"/>
        </w:rPr>
        <w:t xml:space="preserve">propio </w:t>
      </w:r>
      <w:r w:rsidR="00823E81" w:rsidRPr="009B2CA6">
        <w:rPr>
          <w:rFonts w:ascii="Verdana" w:hAnsi="Verdana" w:cs="Times New Roman"/>
          <w:sz w:val="20"/>
          <w:szCs w:val="20"/>
        </w:rPr>
        <w:t>marco jurídico del CIADI permite a las partes acordar un grado de transparencia mayor que el requerido por el convenio del CIADI y su Reglamento de Arbitraje</w:t>
      </w:r>
      <w:r w:rsidR="00823E81" w:rsidRPr="009B2CA6">
        <w:rPr>
          <w:rStyle w:val="Refdenotaalpie"/>
          <w:rFonts w:ascii="Verdana" w:hAnsi="Verdana" w:cs="Times New Roman"/>
          <w:sz w:val="20"/>
          <w:szCs w:val="20"/>
        </w:rPr>
        <w:footnoteReference w:id="68"/>
      </w:r>
      <w:r w:rsidR="00823E81" w:rsidRPr="009B2CA6">
        <w:rPr>
          <w:rFonts w:ascii="Verdana" w:hAnsi="Verdana" w:cs="Times New Roman"/>
          <w:sz w:val="20"/>
          <w:szCs w:val="20"/>
        </w:rPr>
        <w:t xml:space="preserve">; </w:t>
      </w:r>
      <w:r w:rsidR="00823E81" w:rsidRPr="009B2CA6">
        <w:rPr>
          <w:rFonts w:ascii="Verdana" w:hAnsi="Verdana" w:cs="Times New Roman"/>
          <w:sz w:val="20"/>
          <w:szCs w:val="20"/>
        </w:rPr>
        <w:lastRenderedPageBreak/>
        <w:t>t</w:t>
      </w:r>
      <w:r w:rsidR="00C206CC" w:rsidRPr="009B2CA6">
        <w:rPr>
          <w:rFonts w:ascii="Verdana" w:hAnsi="Verdana" w:cs="Times New Roman"/>
          <w:sz w:val="20"/>
          <w:szCs w:val="20"/>
        </w:rPr>
        <w:t xml:space="preserve">ambién </w:t>
      </w:r>
      <w:r w:rsidR="00823E81" w:rsidRPr="009B2CA6">
        <w:rPr>
          <w:rFonts w:ascii="Verdana" w:hAnsi="Verdana" w:cs="Times New Roman"/>
          <w:sz w:val="20"/>
          <w:szCs w:val="20"/>
        </w:rPr>
        <w:t xml:space="preserve">se incluyen </w:t>
      </w:r>
      <w:r w:rsidR="00786CC9" w:rsidRPr="009B2CA6">
        <w:rPr>
          <w:rFonts w:ascii="Verdana" w:hAnsi="Verdana" w:cs="Times New Roman"/>
          <w:sz w:val="20"/>
          <w:szCs w:val="20"/>
        </w:rPr>
        <w:t xml:space="preserve">los procedimientos </w:t>
      </w:r>
      <w:r w:rsidR="00786CC9" w:rsidRPr="009B2CA6">
        <w:rPr>
          <w:rFonts w:ascii="Verdana" w:hAnsi="Verdana" w:cs="Times New Roman"/>
          <w:i/>
          <w:sz w:val="20"/>
          <w:szCs w:val="20"/>
        </w:rPr>
        <w:t>ad hoc</w:t>
      </w:r>
      <w:r w:rsidR="00786CC9" w:rsidRPr="009B2CA6">
        <w:rPr>
          <w:rStyle w:val="Refdenotaalpie"/>
          <w:rFonts w:ascii="Verdana" w:hAnsi="Verdana" w:cs="Times New Roman"/>
          <w:i/>
          <w:sz w:val="20"/>
          <w:szCs w:val="20"/>
        </w:rPr>
        <w:footnoteReference w:id="69"/>
      </w:r>
      <w:r w:rsidR="00786CC9" w:rsidRPr="009B2CA6">
        <w:rPr>
          <w:rFonts w:ascii="Verdana" w:hAnsi="Verdana" w:cs="Times New Roman"/>
          <w:sz w:val="20"/>
          <w:szCs w:val="20"/>
        </w:rPr>
        <w:t xml:space="preserve">. </w:t>
      </w:r>
      <w:r w:rsidR="00AF61E1" w:rsidRPr="009B2CA6">
        <w:rPr>
          <w:rFonts w:ascii="Verdana" w:hAnsi="Verdana" w:cs="Times New Roman"/>
          <w:sz w:val="20"/>
          <w:szCs w:val="20"/>
        </w:rPr>
        <w:t xml:space="preserve">En consecuencia, los Estados pueden acordar la aplicación de las normas </w:t>
      </w:r>
      <w:r w:rsidR="0071650D" w:rsidRPr="009B2CA6">
        <w:rPr>
          <w:rFonts w:ascii="Verdana" w:hAnsi="Verdana" w:cs="Times New Roman"/>
          <w:sz w:val="20"/>
          <w:szCs w:val="20"/>
        </w:rPr>
        <w:t xml:space="preserve">de transparencia </w:t>
      </w:r>
      <w:r w:rsidR="00AF61E1" w:rsidRPr="009B2CA6">
        <w:rPr>
          <w:rFonts w:ascii="Verdana" w:hAnsi="Verdana" w:cs="Times New Roman"/>
          <w:sz w:val="20"/>
          <w:szCs w:val="20"/>
        </w:rPr>
        <w:t>en todos los mecanismos de solución de controversias disponibles en virtud de un tratado determinado.</w:t>
      </w:r>
      <w:r w:rsidR="00BB34D7" w:rsidRPr="009B2CA6">
        <w:rPr>
          <w:rFonts w:ascii="Verdana" w:hAnsi="Verdana" w:cs="Times New Roman"/>
          <w:sz w:val="20"/>
          <w:szCs w:val="20"/>
        </w:rPr>
        <w:t xml:space="preserve"> </w:t>
      </w:r>
      <w:r w:rsidR="009719EC" w:rsidRPr="009B2CA6">
        <w:rPr>
          <w:rFonts w:ascii="Verdana" w:hAnsi="Verdana" w:cs="Times New Roman"/>
          <w:sz w:val="20"/>
          <w:szCs w:val="20"/>
        </w:rPr>
        <w:t>Finalmente</w:t>
      </w:r>
      <w:r w:rsidR="005E0BB4" w:rsidRPr="009B2CA6">
        <w:rPr>
          <w:rFonts w:ascii="Verdana" w:hAnsi="Verdana" w:cs="Times New Roman"/>
          <w:sz w:val="20"/>
          <w:szCs w:val="20"/>
        </w:rPr>
        <w:t xml:space="preserve">, </w:t>
      </w:r>
      <w:r w:rsidR="009719EC" w:rsidRPr="009B2CA6">
        <w:rPr>
          <w:rFonts w:ascii="Verdana" w:hAnsi="Verdana" w:cs="Times New Roman"/>
          <w:sz w:val="20"/>
          <w:szCs w:val="20"/>
        </w:rPr>
        <w:t xml:space="preserve">una vez </w:t>
      </w:r>
      <w:r w:rsidR="00073961" w:rsidRPr="009B2CA6">
        <w:rPr>
          <w:rFonts w:ascii="Verdana" w:hAnsi="Verdana" w:cs="Times New Roman"/>
          <w:sz w:val="20"/>
          <w:szCs w:val="20"/>
        </w:rPr>
        <w:t>analizado el artículo 1 d</w:t>
      </w:r>
      <w:r w:rsidR="005E0BB4" w:rsidRPr="009B2CA6">
        <w:rPr>
          <w:rFonts w:ascii="Verdana" w:hAnsi="Verdana" w:cs="Times New Roman"/>
          <w:sz w:val="20"/>
          <w:szCs w:val="20"/>
        </w:rPr>
        <w:t>el Reglamento</w:t>
      </w:r>
      <w:r w:rsidR="00073961" w:rsidRPr="009B2CA6">
        <w:rPr>
          <w:rFonts w:ascii="Verdana" w:hAnsi="Verdana" w:cs="Times New Roman"/>
          <w:sz w:val="20"/>
          <w:szCs w:val="20"/>
        </w:rPr>
        <w:t xml:space="preserve"> sobre </w:t>
      </w:r>
      <w:r w:rsidR="003E4E0D" w:rsidRPr="009B2CA6">
        <w:rPr>
          <w:rFonts w:ascii="Verdana" w:hAnsi="Verdana" w:cs="Times New Roman"/>
          <w:sz w:val="20"/>
          <w:szCs w:val="20"/>
        </w:rPr>
        <w:t xml:space="preserve">la </w:t>
      </w:r>
      <w:r w:rsidR="00073961" w:rsidRPr="009B2CA6">
        <w:rPr>
          <w:rFonts w:ascii="Verdana" w:hAnsi="Verdana" w:cs="Times New Roman"/>
          <w:sz w:val="20"/>
          <w:szCs w:val="20"/>
        </w:rPr>
        <w:t xml:space="preserve">Transparencia, </w:t>
      </w:r>
      <w:r w:rsidR="00BB34D7" w:rsidRPr="009B2CA6">
        <w:rPr>
          <w:rFonts w:ascii="Verdana" w:hAnsi="Verdana" w:cs="Times New Roman"/>
          <w:sz w:val="20"/>
          <w:szCs w:val="20"/>
        </w:rPr>
        <w:t>sin duda alguna, tal y como reconocen SILVA ROMERO y FELIPE MERIZALDE, “el mismo tiene</w:t>
      </w:r>
      <w:r w:rsidR="00073961" w:rsidRPr="009B2CA6">
        <w:rPr>
          <w:rFonts w:ascii="Verdana" w:hAnsi="Verdana" w:cs="Times New Roman"/>
          <w:sz w:val="20"/>
          <w:szCs w:val="20"/>
        </w:rPr>
        <w:t xml:space="preserve"> </w:t>
      </w:r>
      <w:r w:rsidR="005E0BB4" w:rsidRPr="009B2CA6">
        <w:rPr>
          <w:rFonts w:ascii="Verdana" w:hAnsi="Verdana" w:cs="Times New Roman"/>
          <w:sz w:val="20"/>
          <w:szCs w:val="20"/>
        </w:rPr>
        <w:t>un innegable potencial de gozar de amplia aplicación en el arbitraje de inversiones</w:t>
      </w:r>
      <w:r w:rsidR="00BB34D7" w:rsidRPr="009B2CA6">
        <w:rPr>
          <w:rFonts w:ascii="Verdana" w:hAnsi="Verdana" w:cs="Times New Roman"/>
          <w:sz w:val="20"/>
          <w:szCs w:val="20"/>
        </w:rPr>
        <w:t>”</w:t>
      </w:r>
      <w:r w:rsidR="005E0BB4" w:rsidRPr="009B2CA6">
        <w:rPr>
          <w:rStyle w:val="Refdenotaalpie"/>
          <w:rFonts w:ascii="Verdana" w:hAnsi="Verdana" w:cs="Times New Roman"/>
          <w:sz w:val="20"/>
          <w:szCs w:val="20"/>
        </w:rPr>
        <w:footnoteReference w:id="70"/>
      </w:r>
      <w:r w:rsidR="005E0BB4" w:rsidRPr="009B2CA6">
        <w:rPr>
          <w:rFonts w:ascii="Verdana" w:hAnsi="Verdana" w:cs="Times New Roman"/>
          <w:sz w:val="20"/>
          <w:szCs w:val="20"/>
        </w:rPr>
        <w:t>.</w:t>
      </w:r>
    </w:p>
    <w:p w:rsidR="003E4E0D" w:rsidRDefault="003E4E0D" w:rsidP="006D3AD5">
      <w:pPr>
        <w:pStyle w:val="Contenidodelatabla"/>
        <w:spacing w:line="240" w:lineRule="auto"/>
        <w:rPr>
          <w:rFonts w:ascii="Times New Roman" w:hAnsi="Times New Roman" w:cs="Times New Roman"/>
          <w:sz w:val="24"/>
          <w:szCs w:val="24"/>
        </w:rPr>
      </w:pPr>
    </w:p>
    <w:p w:rsidR="00CE169C" w:rsidRPr="008D6D6A" w:rsidRDefault="00E0258A" w:rsidP="006D3AD5">
      <w:pPr>
        <w:pStyle w:val="Contenidodelatabla"/>
        <w:spacing w:line="240" w:lineRule="auto"/>
        <w:ind w:firstLine="0"/>
        <w:outlineLvl w:val="1"/>
        <w:rPr>
          <w:rFonts w:ascii="Verdana" w:hAnsi="Verdana" w:cs="Times New Roman"/>
          <w:b/>
          <w:sz w:val="20"/>
          <w:szCs w:val="20"/>
        </w:rPr>
      </w:pPr>
      <w:bookmarkStart w:id="41" w:name="_Toc536741922"/>
      <w:bookmarkStart w:id="42" w:name="_Toc1224444"/>
      <w:r w:rsidRPr="008D6D6A">
        <w:rPr>
          <w:rFonts w:ascii="Verdana" w:hAnsi="Verdana" w:cs="Times New Roman"/>
          <w:b/>
          <w:sz w:val="20"/>
          <w:szCs w:val="20"/>
        </w:rPr>
        <w:t>4.2</w:t>
      </w:r>
      <w:r w:rsidR="00AF61E1" w:rsidRPr="008D6D6A">
        <w:rPr>
          <w:rFonts w:ascii="Verdana" w:hAnsi="Verdana" w:cs="Times New Roman"/>
          <w:b/>
          <w:sz w:val="20"/>
          <w:szCs w:val="20"/>
        </w:rPr>
        <w:t xml:space="preserve"> Publicación de información al inic</w:t>
      </w:r>
      <w:r w:rsidR="00DF04F7" w:rsidRPr="008D6D6A">
        <w:rPr>
          <w:rFonts w:ascii="Verdana" w:hAnsi="Verdana" w:cs="Times New Roman"/>
          <w:b/>
          <w:sz w:val="20"/>
          <w:szCs w:val="20"/>
        </w:rPr>
        <w:t>io del procedimiento arbitral.</w:t>
      </w:r>
      <w:bookmarkEnd w:id="41"/>
      <w:bookmarkEnd w:id="42"/>
      <w:r w:rsidR="00DF04F7" w:rsidRPr="008D6D6A">
        <w:rPr>
          <w:rFonts w:ascii="Verdana" w:hAnsi="Verdana" w:cs="Times New Roman"/>
          <w:b/>
          <w:sz w:val="20"/>
          <w:szCs w:val="20"/>
        </w:rPr>
        <w:t xml:space="preserve"> </w:t>
      </w:r>
    </w:p>
    <w:p w:rsidR="00DF04F7" w:rsidRPr="008D6D6A" w:rsidRDefault="00E0695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El Reglamento sobre </w:t>
      </w:r>
      <w:r w:rsidR="001A0F96" w:rsidRPr="008D6D6A">
        <w:rPr>
          <w:rFonts w:ascii="Verdana" w:hAnsi="Verdana" w:cs="Times New Roman"/>
          <w:sz w:val="20"/>
          <w:szCs w:val="20"/>
        </w:rPr>
        <w:t xml:space="preserve">la </w:t>
      </w:r>
      <w:r w:rsidRPr="008D6D6A">
        <w:rPr>
          <w:rFonts w:ascii="Verdana" w:hAnsi="Verdana" w:cs="Times New Roman"/>
          <w:sz w:val="20"/>
          <w:szCs w:val="20"/>
        </w:rPr>
        <w:t xml:space="preserve">Transparencia </w:t>
      </w:r>
      <w:r w:rsidR="00501875" w:rsidRPr="008D6D6A">
        <w:rPr>
          <w:rFonts w:ascii="Verdana" w:hAnsi="Verdana" w:cs="Times New Roman"/>
          <w:sz w:val="20"/>
          <w:szCs w:val="20"/>
        </w:rPr>
        <w:t>prevé la divulgación rápid</w:t>
      </w:r>
      <w:r w:rsidR="008032F4" w:rsidRPr="008D6D6A">
        <w:rPr>
          <w:rFonts w:ascii="Verdana" w:hAnsi="Verdana" w:cs="Times New Roman"/>
          <w:sz w:val="20"/>
          <w:szCs w:val="20"/>
        </w:rPr>
        <w:t>a y obligatoria de los h</w:t>
      </w:r>
      <w:r w:rsidR="00501875" w:rsidRPr="008D6D6A">
        <w:rPr>
          <w:rFonts w:ascii="Verdana" w:hAnsi="Verdana" w:cs="Times New Roman"/>
          <w:sz w:val="20"/>
          <w:szCs w:val="20"/>
        </w:rPr>
        <w:t>echo</w:t>
      </w:r>
      <w:r w:rsidR="008032F4" w:rsidRPr="008D6D6A">
        <w:rPr>
          <w:rFonts w:ascii="Verdana" w:hAnsi="Verdana" w:cs="Times New Roman"/>
          <w:sz w:val="20"/>
          <w:szCs w:val="20"/>
        </w:rPr>
        <w:t>s</w:t>
      </w:r>
      <w:r w:rsidR="00501875" w:rsidRPr="008D6D6A">
        <w:rPr>
          <w:rFonts w:ascii="Verdana" w:hAnsi="Verdana" w:cs="Times New Roman"/>
          <w:sz w:val="20"/>
          <w:szCs w:val="20"/>
        </w:rPr>
        <w:t xml:space="preserve"> </w:t>
      </w:r>
      <w:r w:rsidR="00BE621A" w:rsidRPr="008D6D6A">
        <w:rPr>
          <w:rFonts w:ascii="Verdana" w:hAnsi="Verdana" w:cs="Times New Roman"/>
          <w:sz w:val="20"/>
          <w:szCs w:val="20"/>
        </w:rPr>
        <w:t>que ha</w:t>
      </w:r>
      <w:r w:rsidR="008032F4" w:rsidRPr="008D6D6A">
        <w:rPr>
          <w:rFonts w:ascii="Verdana" w:hAnsi="Verdana" w:cs="Times New Roman"/>
          <w:sz w:val="20"/>
          <w:szCs w:val="20"/>
        </w:rPr>
        <w:t>n</w:t>
      </w:r>
      <w:r w:rsidR="00BE621A" w:rsidRPr="008D6D6A">
        <w:rPr>
          <w:rFonts w:ascii="Verdana" w:hAnsi="Verdana" w:cs="Times New Roman"/>
          <w:sz w:val="20"/>
          <w:szCs w:val="20"/>
        </w:rPr>
        <w:t xml:space="preserve"> originado el inicio d</w:t>
      </w:r>
      <w:r w:rsidR="00501875" w:rsidRPr="008D6D6A">
        <w:rPr>
          <w:rFonts w:ascii="Verdana" w:hAnsi="Verdana" w:cs="Times New Roman"/>
          <w:sz w:val="20"/>
          <w:szCs w:val="20"/>
        </w:rPr>
        <w:t xml:space="preserve">el arbitraje. Al inicio del procedimiento, cuando un reclamante envía una notificación de arbitraje a un Estado demandado, ambas </w:t>
      </w:r>
      <w:r w:rsidR="008032F4" w:rsidRPr="008D6D6A">
        <w:rPr>
          <w:rFonts w:ascii="Verdana" w:hAnsi="Verdana" w:cs="Times New Roman"/>
          <w:sz w:val="20"/>
          <w:szCs w:val="20"/>
        </w:rPr>
        <w:t>P</w:t>
      </w:r>
      <w:r w:rsidR="00501875" w:rsidRPr="008D6D6A">
        <w:rPr>
          <w:rFonts w:ascii="Verdana" w:hAnsi="Verdana" w:cs="Times New Roman"/>
          <w:sz w:val="20"/>
          <w:szCs w:val="20"/>
        </w:rPr>
        <w:t>artes contendientes debe</w:t>
      </w:r>
      <w:r w:rsidR="00BE621A" w:rsidRPr="008D6D6A">
        <w:rPr>
          <w:rFonts w:ascii="Verdana" w:hAnsi="Verdana" w:cs="Times New Roman"/>
          <w:sz w:val="20"/>
          <w:szCs w:val="20"/>
        </w:rPr>
        <w:t>n</w:t>
      </w:r>
      <w:r w:rsidR="008032F4" w:rsidRPr="008D6D6A">
        <w:rPr>
          <w:rFonts w:ascii="Verdana" w:hAnsi="Verdana" w:cs="Times New Roman"/>
          <w:sz w:val="20"/>
          <w:szCs w:val="20"/>
        </w:rPr>
        <w:t xml:space="preserve"> enviar </w:t>
      </w:r>
      <w:r w:rsidR="00053FB3" w:rsidRPr="008D6D6A">
        <w:rPr>
          <w:rFonts w:ascii="Verdana" w:hAnsi="Verdana" w:cs="Times New Roman"/>
          <w:sz w:val="20"/>
          <w:szCs w:val="20"/>
        </w:rPr>
        <w:t>una copia</w:t>
      </w:r>
      <w:r w:rsidR="00501875" w:rsidRPr="008D6D6A">
        <w:rPr>
          <w:rFonts w:ascii="Verdana" w:hAnsi="Verdana" w:cs="Times New Roman"/>
          <w:sz w:val="20"/>
          <w:szCs w:val="20"/>
        </w:rPr>
        <w:t xml:space="preserve"> “sin demora” al repositorio. Una vez que el repositorio tenga evidencia de que el demandado ha sido </w:t>
      </w:r>
      <w:r w:rsidRPr="008D6D6A">
        <w:rPr>
          <w:rFonts w:ascii="Verdana" w:hAnsi="Verdana" w:cs="Times New Roman"/>
          <w:sz w:val="20"/>
          <w:szCs w:val="20"/>
        </w:rPr>
        <w:t>notificado</w:t>
      </w:r>
      <w:r w:rsidR="00501875" w:rsidRPr="008D6D6A">
        <w:rPr>
          <w:rFonts w:ascii="Verdana" w:hAnsi="Verdana" w:cs="Times New Roman"/>
          <w:sz w:val="20"/>
          <w:szCs w:val="20"/>
        </w:rPr>
        <w:t xml:space="preserve"> o tras ha</w:t>
      </w:r>
      <w:r w:rsidRPr="008D6D6A">
        <w:rPr>
          <w:rFonts w:ascii="Verdana" w:hAnsi="Verdana" w:cs="Times New Roman"/>
          <w:sz w:val="20"/>
          <w:szCs w:val="20"/>
        </w:rPr>
        <w:t>ber recibido</w:t>
      </w:r>
      <w:r w:rsidR="00501875" w:rsidRPr="008D6D6A">
        <w:rPr>
          <w:rFonts w:ascii="Verdana" w:hAnsi="Verdana" w:cs="Times New Roman"/>
          <w:sz w:val="20"/>
          <w:szCs w:val="20"/>
        </w:rPr>
        <w:t xml:space="preserve"> la notificación de arbitraje, debe “sin demora” publicar</w:t>
      </w:r>
      <w:r w:rsidR="00F85375" w:rsidRPr="008D6D6A">
        <w:rPr>
          <w:rFonts w:ascii="Verdana" w:hAnsi="Verdana" w:cs="Times New Roman"/>
          <w:sz w:val="20"/>
          <w:szCs w:val="20"/>
        </w:rPr>
        <w:t>lo</w:t>
      </w:r>
      <w:r w:rsidR="00345907" w:rsidRPr="008D6D6A">
        <w:rPr>
          <w:rFonts w:ascii="Verdana" w:hAnsi="Verdana" w:cs="Times New Roman"/>
          <w:sz w:val="20"/>
          <w:szCs w:val="20"/>
        </w:rPr>
        <w:t>.</w:t>
      </w:r>
      <w:r w:rsidRPr="008D6D6A">
        <w:rPr>
          <w:rFonts w:ascii="Verdana" w:hAnsi="Verdana" w:cs="Times New Roman"/>
          <w:sz w:val="20"/>
          <w:szCs w:val="20"/>
        </w:rPr>
        <w:t xml:space="preserve"> </w:t>
      </w:r>
      <w:r w:rsidR="00345907" w:rsidRPr="008D6D6A">
        <w:rPr>
          <w:rFonts w:ascii="Verdana" w:hAnsi="Verdana" w:cs="Times New Roman"/>
          <w:sz w:val="20"/>
          <w:szCs w:val="20"/>
        </w:rPr>
        <w:t>O</w:t>
      </w:r>
      <w:r w:rsidRPr="008D6D6A">
        <w:rPr>
          <w:rFonts w:ascii="Verdana" w:hAnsi="Verdana" w:cs="Times New Roman"/>
          <w:sz w:val="20"/>
          <w:szCs w:val="20"/>
        </w:rPr>
        <w:t xml:space="preserve"> sea, </w:t>
      </w:r>
      <w:r w:rsidR="008032F4" w:rsidRPr="008D6D6A">
        <w:rPr>
          <w:rFonts w:ascii="Verdana" w:hAnsi="Verdana" w:cs="Times New Roman"/>
          <w:sz w:val="20"/>
          <w:szCs w:val="20"/>
        </w:rPr>
        <w:t>poner a disposición pública</w:t>
      </w:r>
      <w:r w:rsidR="00501875" w:rsidRPr="008D6D6A">
        <w:rPr>
          <w:rFonts w:ascii="Verdana" w:hAnsi="Verdana" w:cs="Times New Roman"/>
          <w:sz w:val="20"/>
          <w:szCs w:val="20"/>
        </w:rPr>
        <w:t xml:space="preserve"> </w:t>
      </w:r>
      <w:r w:rsidR="00F85375" w:rsidRPr="008D6D6A">
        <w:rPr>
          <w:rFonts w:ascii="Verdana" w:hAnsi="Verdana" w:cs="Times New Roman"/>
          <w:sz w:val="20"/>
          <w:szCs w:val="20"/>
        </w:rPr>
        <w:t xml:space="preserve">los </w:t>
      </w:r>
      <w:r w:rsidR="00501875" w:rsidRPr="008D6D6A">
        <w:rPr>
          <w:rFonts w:ascii="Verdana" w:hAnsi="Verdana" w:cs="Times New Roman"/>
          <w:sz w:val="20"/>
          <w:szCs w:val="20"/>
        </w:rPr>
        <w:t>hechos básicos específicos sobre la disputa</w:t>
      </w:r>
      <w:r w:rsidRPr="008D6D6A">
        <w:rPr>
          <w:rFonts w:ascii="Verdana" w:hAnsi="Verdana" w:cs="Times New Roman"/>
          <w:sz w:val="20"/>
          <w:szCs w:val="20"/>
        </w:rPr>
        <w:t>, como son</w:t>
      </w:r>
      <w:r w:rsidR="00501875" w:rsidRPr="008D6D6A">
        <w:rPr>
          <w:rFonts w:ascii="Verdana" w:hAnsi="Verdana" w:cs="Times New Roman"/>
          <w:sz w:val="20"/>
          <w:szCs w:val="20"/>
        </w:rPr>
        <w:t>: el nombre de las partes contendientes, el sector económico pertinente y el tratado en virtud del cual se formula la demanda</w:t>
      </w:r>
      <w:r w:rsidR="00501875" w:rsidRPr="008D6D6A">
        <w:rPr>
          <w:rStyle w:val="Refdenotaalpie"/>
          <w:rFonts w:ascii="Verdana" w:hAnsi="Verdana" w:cs="Times New Roman"/>
          <w:sz w:val="20"/>
          <w:szCs w:val="20"/>
        </w:rPr>
        <w:footnoteReference w:id="71"/>
      </w:r>
      <w:r w:rsidR="002B3DA3" w:rsidRPr="008D6D6A">
        <w:rPr>
          <w:rFonts w:ascii="Verdana" w:hAnsi="Verdana" w:cs="Times New Roman"/>
          <w:sz w:val="20"/>
          <w:szCs w:val="20"/>
        </w:rPr>
        <w:t>.</w:t>
      </w:r>
    </w:p>
    <w:p w:rsidR="002F1308" w:rsidRPr="008D6D6A" w:rsidRDefault="003A2254"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Con una simple</w:t>
      </w:r>
      <w:r w:rsidR="00E225F0" w:rsidRPr="008D6D6A">
        <w:rPr>
          <w:rFonts w:ascii="Verdana" w:hAnsi="Verdana" w:cs="Times New Roman"/>
          <w:sz w:val="20"/>
          <w:szCs w:val="20"/>
        </w:rPr>
        <w:t xml:space="preserve"> lectura</w:t>
      </w:r>
      <w:r w:rsidR="0079449F" w:rsidRPr="008D6D6A">
        <w:rPr>
          <w:rFonts w:ascii="Verdana" w:hAnsi="Verdana" w:cs="Times New Roman"/>
          <w:sz w:val="20"/>
          <w:szCs w:val="20"/>
        </w:rPr>
        <w:t xml:space="preserve"> del artículo 2 del Reglamento sobre </w:t>
      </w:r>
      <w:r w:rsidR="00432873" w:rsidRPr="008D6D6A">
        <w:rPr>
          <w:rFonts w:ascii="Verdana" w:hAnsi="Verdana" w:cs="Times New Roman"/>
          <w:sz w:val="20"/>
          <w:szCs w:val="20"/>
        </w:rPr>
        <w:t xml:space="preserve">la </w:t>
      </w:r>
      <w:r w:rsidR="0079449F" w:rsidRPr="008D6D6A">
        <w:rPr>
          <w:rFonts w:ascii="Verdana" w:hAnsi="Verdana" w:cs="Times New Roman"/>
          <w:sz w:val="20"/>
          <w:szCs w:val="20"/>
        </w:rPr>
        <w:t>Transparenci</w:t>
      </w:r>
      <w:r w:rsidRPr="008D6D6A">
        <w:rPr>
          <w:rFonts w:ascii="Verdana" w:hAnsi="Verdana" w:cs="Times New Roman"/>
          <w:sz w:val="20"/>
          <w:szCs w:val="20"/>
        </w:rPr>
        <w:t>a, respecto a la</w:t>
      </w:r>
      <w:r w:rsidR="002B3DA3" w:rsidRPr="008D6D6A">
        <w:rPr>
          <w:rFonts w:ascii="Verdana" w:hAnsi="Verdana" w:cs="Times New Roman"/>
          <w:sz w:val="20"/>
          <w:szCs w:val="20"/>
        </w:rPr>
        <w:t xml:space="preserve"> </w:t>
      </w:r>
      <w:r w:rsidRPr="008D6D6A">
        <w:rPr>
          <w:rFonts w:ascii="Verdana" w:hAnsi="Verdana" w:cs="Times New Roman"/>
          <w:sz w:val="20"/>
          <w:szCs w:val="20"/>
        </w:rPr>
        <w:t>publicación de la información al inicio del procedimiento</w:t>
      </w:r>
      <w:r w:rsidR="002B3DA3" w:rsidRPr="008D6D6A">
        <w:rPr>
          <w:rFonts w:ascii="Verdana" w:hAnsi="Verdana" w:cs="Times New Roman"/>
          <w:sz w:val="20"/>
          <w:szCs w:val="20"/>
        </w:rPr>
        <w:t xml:space="preserve">, </w:t>
      </w:r>
      <w:r w:rsidR="00E032DE" w:rsidRPr="008D6D6A">
        <w:rPr>
          <w:rFonts w:ascii="Verdana" w:hAnsi="Verdana" w:cs="Times New Roman"/>
          <w:sz w:val="20"/>
          <w:szCs w:val="20"/>
        </w:rPr>
        <w:t xml:space="preserve">saltan a la vista de modo inmediato </w:t>
      </w:r>
      <w:r w:rsidR="00781027" w:rsidRPr="008D6D6A">
        <w:rPr>
          <w:rFonts w:ascii="Verdana" w:hAnsi="Verdana" w:cs="Times New Roman"/>
          <w:sz w:val="20"/>
          <w:szCs w:val="20"/>
        </w:rPr>
        <w:t>algunas cuestiones</w:t>
      </w:r>
      <w:r w:rsidR="003B5520" w:rsidRPr="008D6D6A">
        <w:rPr>
          <w:rFonts w:ascii="Verdana" w:hAnsi="Verdana" w:cs="Times New Roman"/>
          <w:sz w:val="20"/>
          <w:szCs w:val="20"/>
        </w:rPr>
        <w:t xml:space="preserve"> de gran envergadura</w:t>
      </w:r>
      <w:r w:rsidR="00803C8F" w:rsidRPr="008D6D6A">
        <w:rPr>
          <w:rFonts w:ascii="Verdana" w:hAnsi="Verdana" w:cs="Times New Roman"/>
          <w:sz w:val="20"/>
          <w:szCs w:val="20"/>
        </w:rPr>
        <w:t>.</w:t>
      </w:r>
      <w:r w:rsidRPr="008D6D6A">
        <w:rPr>
          <w:rFonts w:ascii="Verdana" w:hAnsi="Verdana" w:cs="Times New Roman"/>
          <w:sz w:val="20"/>
          <w:szCs w:val="20"/>
        </w:rPr>
        <w:t xml:space="preserve"> </w:t>
      </w:r>
      <w:r w:rsidR="00803C8F" w:rsidRPr="008D6D6A">
        <w:rPr>
          <w:rFonts w:ascii="Verdana" w:hAnsi="Verdana" w:cs="Times New Roman"/>
          <w:sz w:val="20"/>
          <w:szCs w:val="20"/>
        </w:rPr>
        <w:t>L</w:t>
      </w:r>
      <w:r w:rsidRPr="008D6D6A">
        <w:rPr>
          <w:rFonts w:ascii="Verdana" w:hAnsi="Verdana" w:cs="Times New Roman"/>
          <w:sz w:val="20"/>
          <w:szCs w:val="20"/>
        </w:rPr>
        <w:t>a pr</w:t>
      </w:r>
      <w:r w:rsidR="00CA483D" w:rsidRPr="008D6D6A">
        <w:rPr>
          <w:rFonts w:ascii="Verdana" w:hAnsi="Verdana" w:cs="Times New Roman"/>
          <w:sz w:val="20"/>
          <w:szCs w:val="20"/>
        </w:rPr>
        <w:t>imera</w:t>
      </w:r>
      <w:r w:rsidR="009C399A" w:rsidRPr="008D6D6A">
        <w:rPr>
          <w:rFonts w:ascii="Verdana" w:hAnsi="Verdana" w:cs="Times New Roman"/>
          <w:sz w:val="20"/>
          <w:szCs w:val="20"/>
        </w:rPr>
        <w:t xml:space="preserve"> cuestión</w:t>
      </w:r>
      <w:r w:rsidR="003B5520" w:rsidRPr="008D6D6A">
        <w:rPr>
          <w:rFonts w:ascii="Verdana" w:hAnsi="Verdana" w:cs="Times New Roman"/>
          <w:sz w:val="20"/>
          <w:szCs w:val="20"/>
        </w:rPr>
        <w:t xml:space="preserve"> es</w:t>
      </w:r>
      <w:r w:rsidR="002F1308" w:rsidRPr="008D6D6A">
        <w:rPr>
          <w:rFonts w:ascii="Verdana" w:hAnsi="Verdana" w:cs="Times New Roman"/>
          <w:sz w:val="20"/>
          <w:szCs w:val="20"/>
        </w:rPr>
        <w:t>tá</w:t>
      </w:r>
      <w:r w:rsidR="003B5520" w:rsidRPr="008D6D6A">
        <w:rPr>
          <w:rFonts w:ascii="Verdana" w:hAnsi="Verdana" w:cs="Times New Roman"/>
          <w:sz w:val="20"/>
          <w:szCs w:val="20"/>
        </w:rPr>
        <w:t xml:space="preserve"> relacionada con la expresión “sin demora” utilizada en el </w:t>
      </w:r>
      <w:r w:rsidR="008B34C1" w:rsidRPr="008D6D6A">
        <w:rPr>
          <w:rFonts w:ascii="Verdana" w:hAnsi="Verdana" w:cs="Times New Roman"/>
          <w:sz w:val="20"/>
          <w:szCs w:val="20"/>
        </w:rPr>
        <w:t xml:space="preserve">tenor </w:t>
      </w:r>
      <w:r w:rsidR="003B5520" w:rsidRPr="008D6D6A">
        <w:rPr>
          <w:rFonts w:ascii="Verdana" w:hAnsi="Verdana" w:cs="Times New Roman"/>
          <w:sz w:val="20"/>
          <w:szCs w:val="20"/>
        </w:rPr>
        <w:t xml:space="preserve">literal del precepto. </w:t>
      </w:r>
      <w:r w:rsidR="00E032DE" w:rsidRPr="008D6D6A">
        <w:rPr>
          <w:rFonts w:ascii="Verdana" w:hAnsi="Verdana" w:cs="Times New Roman"/>
          <w:sz w:val="20"/>
          <w:szCs w:val="20"/>
        </w:rPr>
        <w:t>Consideramos que se trata de</w:t>
      </w:r>
      <w:r w:rsidR="003B5520" w:rsidRPr="008D6D6A">
        <w:rPr>
          <w:rFonts w:ascii="Verdana" w:hAnsi="Verdana" w:cs="Times New Roman"/>
          <w:sz w:val="20"/>
          <w:szCs w:val="20"/>
        </w:rPr>
        <w:t xml:space="preserve"> una</w:t>
      </w:r>
      <w:r w:rsidR="009C64BC" w:rsidRPr="008D6D6A">
        <w:rPr>
          <w:rFonts w:ascii="Verdana" w:hAnsi="Verdana" w:cs="Times New Roman"/>
          <w:sz w:val="20"/>
          <w:szCs w:val="20"/>
        </w:rPr>
        <w:t xml:space="preserve"> </w:t>
      </w:r>
      <w:r w:rsidR="003B5520" w:rsidRPr="008D6D6A">
        <w:rPr>
          <w:rFonts w:ascii="Verdana" w:hAnsi="Verdana" w:cs="Times New Roman"/>
          <w:sz w:val="20"/>
          <w:szCs w:val="20"/>
        </w:rPr>
        <w:t>expresión indeterminada e imprecisa, que puede traer como consecuencia interpretaciones</w:t>
      </w:r>
      <w:r w:rsidR="008032F4" w:rsidRPr="008D6D6A">
        <w:rPr>
          <w:rFonts w:ascii="Verdana" w:hAnsi="Verdana" w:cs="Times New Roman"/>
          <w:sz w:val="20"/>
          <w:szCs w:val="20"/>
        </w:rPr>
        <w:t xml:space="preserve"> distintas por cada una de las P</w:t>
      </w:r>
      <w:r w:rsidR="003B5520" w:rsidRPr="008D6D6A">
        <w:rPr>
          <w:rFonts w:ascii="Verdana" w:hAnsi="Verdana" w:cs="Times New Roman"/>
          <w:sz w:val="20"/>
          <w:szCs w:val="20"/>
        </w:rPr>
        <w:t>artes contendientes</w:t>
      </w:r>
      <w:r w:rsidR="009C64BC" w:rsidRPr="008D6D6A">
        <w:rPr>
          <w:rFonts w:ascii="Verdana" w:hAnsi="Verdana" w:cs="Times New Roman"/>
          <w:sz w:val="20"/>
          <w:szCs w:val="20"/>
        </w:rPr>
        <w:t>. Hubiese resultado</w:t>
      </w:r>
      <w:r w:rsidR="005D09F0" w:rsidRPr="008D6D6A">
        <w:rPr>
          <w:rFonts w:ascii="Verdana" w:hAnsi="Verdana" w:cs="Times New Roman"/>
          <w:sz w:val="20"/>
          <w:szCs w:val="20"/>
        </w:rPr>
        <w:t xml:space="preserve"> más acer</w:t>
      </w:r>
      <w:r w:rsidR="008032F4" w:rsidRPr="008D6D6A">
        <w:rPr>
          <w:rFonts w:ascii="Verdana" w:hAnsi="Verdana" w:cs="Times New Roman"/>
          <w:sz w:val="20"/>
          <w:szCs w:val="20"/>
        </w:rPr>
        <w:t xml:space="preserve">tado </w:t>
      </w:r>
      <w:r w:rsidR="002F1308" w:rsidRPr="008D6D6A">
        <w:rPr>
          <w:rFonts w:ascii="Verdana" w:hAnsi="Verdana" w:cs="Times New Roman"/>
          <w:sz w:val="20"/>
          <w:szCs w:val="20"/>
        </w:rPr>
        <w:t>establecer un plazo</w:t>
      </w:r>
      <w:r w:rsidR="003929E2" w:rsidRPr="008D6D6A">
        <w:rPr>
          <w:rFonts w:ascii="Verdana" w:hAnsi="Verdana" w:cs="Times New Roman"/>
          <w:sz w:val="20"/>
          <w:szCs w:val="20"/>
        </w:rPr>
        <w:t xml:space="preserve"> para l</w:t>
      </w:r>
      <w:r w:rsidR="009C64BC" w:rsidRPr="008D6D6A">
        <w:rPr>
          <w:rFonts w:ascii="Verdana" w:hAnsi="Verdana" w:cs="Times New Roman"/>
          <w:sz w:val="20"/>
          <w:szCs w:val="20"/>
        </w:rPr>
        <w:t xml:space="preserve">a publicación de la información, sobre todo si tenemos </w:t>
      </w:r>
      <w:r w:rsidR="003B5520" w:rsidRPr="008D6D6A">
        <w:rPr>
          <w:rFonts w:ascii="Verdana" w:hAnsi="Verdana" w:cs="Times New Roman"/>
          <w:sz w:val="20"/>
          <w:szCs w:val="20"/>
        </w:rPr>
        <w:t>en cuenta que</w:t>
      </w:r>
      <w:r w:rsidR="009C64BC" w:rsidRPr="008D6D6A">
        <w:rPr>
          <w:rFonts w:ascii="Verdana" w:hAnsi="Verdana" w:cs="Times New Roman"/>
          <w:sz w:val="20"/>
          <w:szCs w:val="20"/>
        </w:rPr>
        <w:t xml:space="preserve"> no existe un tribunal arbitral previamente constituido</w:t>
      </w:r>
      <w:r w:rsidR="003B5520" w:rsidRPr="008D6D6A">
        <w:rPr>
          <w:rFonts w:ascii="Verdana" w:hAnsi="Verdana" w:cs="Times New Roman"/>
          <w:sz w:val="20"/>
          <w:szCs w:val="20"/>
        </w:rPr>
        <w:t xml:space="preserve"> que pueda </w:t>
      </w:r>
      <w:r w:rsidR="00B71C53" w:rsidRPr="008D6D6A">
        <w:rPr>
          <w:rFonts w:ascii="Verdana" w:hAnsi="Verdana" w:cs="Times New Roman"/>
          <w:sz w:val="20"/>
          <w:szCs w:val="20"/>
        </w:rPr>
        <w:t>concretar dicho plazo</w:t>
      </w:r>
      <w:r w:rsidR="003B5520" w:rsidRPr="008D6D6A">
        <w:rPr>
          <w:rFonts w:ascii="Verdana" w:hAnsi="Verdana" w:cs="Times New Roman"/>
          <w:sz w:val="20"/>
          <w:szCs w:val="20"/>
        </w:rPr>
        <w:t>, especificando con exactitud un término a cumplir por las partes litigantes</w:t>
      </w:r>
      <w:r w:rsidR="001B248D" w:rsidRPr="008D6D6A">
        <w:rPr>
          <w:rFonts w:ascii="Verdana" w:hAnsi="Verdana" w:cs="Times New Roman"/>
          <w:sz w:val="20"/>
          <w:szCs w:val="20"/>
        </w:rPr>
        <w:t xml:space="preserve"> para depositar la notificación de arbitraje o </w:t>
      </w:r>
      <w:r w:rsidR="002E3E59" w:rsidRPr="008D6D6A">
        <w:rPr>
          <w:rFonts w:ascii="Verdana" w:hAnsi="Verdana" w:cs="Times New Roman"/>
          <w:sz w:val="20"/>
          <w:szCs w:val="20"/>
        </w:rPr>
        <w:t xml:space="preserve">el </w:t>
      </w:r>
      <w:r w:rsidR="001B248D" w:rsidRPr="008D6D6A">
        <w:rPr>
          <w:rFonts w:ascii="Verdana" w:hAnsi="Verdana" w:cs="Times New Roman"/>
          <w:sz w:val="20"/>
          <w:szCs w:val="20"/>
        </w:rPr>
        <w:t>registro de la misma en el archivo correspondiente</w:t>
      </w:r>
      <w:r w:rsidR="003B5520" w:rsidRPr="008D6D6A">
        <w:rPr>
          <w:rFonts w:ascii="Verdana" w:hAnsi="Verdana" w:cs="Times New Roman"/>
          <w:sz w:val="20"/>
          <w:szCs w:val="20"/>
        </w:rPr>
        <w:t xml:space="preserve">. </w:t>
      </w:r>
    </w:p>
    <w:p w:rsidR="003B5520" w:rsidRPr="008D6D6A" w:rsidRDefault="00B77F60"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En este sentido, consideramos que el Reglamento, </w:t>
      </w:r>
      <w:r w:rsidR="001C36C7" w:rsidRPr="008D6D6A">
        <w:rPr>
          <w:rFonts w:ascii="Verdana" w:hAnsi="Verdana" w:cs="Times New Roman"/>
          <w:sz w:val="20"/>
          <w:szCs w:val="20"/>
        </w:rPr>
        <w:t xml:space="preserve">respecto a la cuestión objeto de análisis, y </w:t>
      </w:r>
      <w:r w:rsidR="003B5520" w:rsidRPr="008D6D6A">
        <w:rPr>
          <w:rFonts w:ascii="Verdana" w:hAnsi="Verdana" w:cs="Times New Roman"/>
          <w:sz w:val="20"/>
          <w:szCs w:val="20"/>
        </w:rPr>
        <w:t xml:space="preserve">en función </w:t>
      </w:r>
      <w:r w:rsidR="001C36C7" w:rsidRPr="008D6D6A">
        <w:rPr>
          <w:rFonts w:ascii="Verdana" w:hAnsi="Verdana" w:cs="Times New Roman"/>
          <w:sz w:val="20"/>
          <w:szCs w:val="20"/>
        </w:rPr>
        <w:t>de los objetivos que se propone en cuanto</w:t>
      </w:r>
      <w:r w:rsidR="00F02F7A" w:rsidRPr="008D6D6A">
        <w:rPr>
          <w:rFonts w:ascii="Verdana" w:hAnsi="Verdana" w:cs="Times New Roman"/>
          <w:sz w:val="20"/>
          <w:szCs w:val="20"/>
        </w:rPr>
        <w:t xml:space="preserve"> a la transparencia en el arbitraje</w:t>
      </w:r>
      <w:r w:rsidRPr="008D6D6A">
        <w:rPr>
          <w:rFonts w:ascii="Verdana" w:hAnsi="Verdana" w:cs="Times New Roman"/>
          <w:sz w:val="20"/>
          <w:szCs w:val="20"/>
        </w:rPr>
        <w:t xml:space="preserve"> de inversiones, es muy abstracto. </w:t>
      </w:r>
      <w:r w:rsidR="00932CB5" w:rsidRPr="008D6D6A">
        <w:rPr>
          <w:rFonts w:ascii="Verdana" w:hAnsi="Verdana" w:cs="Times New Roman"/>
          <w:sz w:val="20"/>
          <w:szCs w:val="20"/>
        </w:rPr>
        <w:t xml:space="preserve">El literal del precepto es la reafirmación de </w:t>
      </w:r>
      <w:r w:rsidRPr="008D6D6A">
        <w:rPr>
          <w:rFonts w:ascii="Verdana" w:hAnsi="Verdana" w:cs="Times New Roman"/>
          <w:sz w:val="20"/>
          <w:szCs w:val="20"/>
        </w:rPr>
        <w:t xml:space="preserve">que </w:t>
      </w:r>
      <w:r w:rsidR="003B5520" w:rsidRPr="008D6D6A">
        <w:rPr>
          <w:rFonts w:ascii="Verdana" w:hAnsi="Verdana" w:cs="Times New Roman"/>
          <w:sz w:val="20"/>
          <w:szCs w:val="20"/>
        </w:rPr>
        <w:t xml:space="preserve">la no publicación de la notificación de arbitraje, documento que inicia </w:t>
      </w:r>
      <w:r w:rsidR="00E3047C" w:rsidRPr="008D6D6A">
        <w:rPr>
          <w:rFonts w:ascii="Verdana" w:hAnsi="Verdana" w:cs="Times New Roman"/>
          <w:sz w:val="20"/>
          <w:szCs w:val="20"/>
        </w:rPr>
        <w:t>la andadura</w:t>
      </w:r>
      <w:r w:rsidR="008E18E2" w:rsidRPr="008D6D6A">
        <w:rPr>
          <w:rFonts w:ascii="Verdana" w:hAnsi="Verdana" w:cs="Times New Roman"/>
          <w:sz w:val="20"/>
          <w:szCs w:val="20"/>
        </w:rPr>
        <w:t xml:space="preserve"> de un procedimiento arbitral,</w:t>
      </w:r>
      <w:r w:rsidR="003B5520" w:rsidRPr="008D6D6A">
        <w:rPr>
          <w:rFonts w:ascii="Verdana" w:hAnsi="Verdana" w:cs="Times New Roman"/>
          <w:sz w:val="20"/>
          <w:szCs w:val="20"/>
        </w:rPr>
        <w:t xml:space="preserve"> así como la información básica, específica</w:t>
      </w:r>
      <w:r w:rsidRPr="008D6D6A">
        <w:rPr>
          <w:rFonts w:ascii="Verdana" w:hAnsi="Verdana" w:cs="Times New Roman"/>
          <w:sz w:val="20"/>
          <w:szCs w:val="20"/>
        </w:rPr>
        <w:t xml:space="preserve"> del procedimiento</w:t>
      </w:r>
      <w:r w:rsidR="008E18E2" w:rsidRPr="008D6D6A">
        <w:rPr>
          <w:rFonts w:ascii="Verdana" w:hAnsi="Verdana" w:cs="Times New Roman"/>
          <w:sz w:val="20"/>
          <w:szCs w:val="20"/>
        </w:rPr>
        <w:t>, va</w:t>
      </w:r>
      <w:r w:rsidR="003B5520" w:rsidRPr="008D6D6A">
        <w:rPr>
          <w:rFonts w:ascii="Verdana" w:hAnsi="Verdana" w:cs="Times New Roman"/>
          <w:sz w:val="20"/>
          <w:szCs w:val="20"/>
        </w:rPr>
        <w:t xml:space="preserve"> en contra de los fines del propio Reglamento sobre </w:t>
      </w:r>
      <w:r w:rsidR="00432873" w:rsidRPr="008D6D6A">
        <w:rPr>
          <w:rFonts w:ascii="Verdana" w:hAnsi="Verdana" w:cs="Times New Roman"/>
          <w:sz w:val="20"/>
          <w:szCs w:val="20"/>
        </w:rPr>
        <w:t xml:space="preserve">la </w:t>
      </w:r>
      <w:r w:rsidR="003B5520" w:rsidRPr="008D6D6A">
        <w:rPr>
          <w:rFonts w:ascii="Verdana" w:hAnsi="Verdana" w:cs="Times New Roman"/>
          <w:sz w:val="20"/>
          <w:szCs w:val="20"/>
        </w:rPr>
        <w:t>Transparencia</w:t>
      </w:r>
      <w:r w:rsidR="005D09F0" w:rsidRPr="008D6D6A">
        <w:rPr>
          <w:rFonts w:ascii="Verdana" w:hAnsi="Verdana" w:cs="Times New Roman"/>
          <w:sz w:val="20"/>
          <w:szCs w:val="20"/>
        </w:rPr>
        <w:t xml:space="preserve"> y</w:t>
      </w:r>
      <w:r w:rsidR="003B5520" w:rsidRPr="008D6D6A">
        <w:rPr>
          <w:rFonts w:ascii="Verdana" w:hAnsi="Verdana" w:cs="Times New Roman"/>
          <w:sz w:val="20"/>
          <w:szCs w:val="20"/>
        </w:rPr>
        <w:t xml:space="preserve"> en ocasiones</w:t>
      </w:r>
      <w:r w:rsidR="00E3047C" w:rsidRPr="008D6D6A">
        <w:rPr>
          <w:rFonts w:ascii="Verdana" w:hAnsi="Verdana" w:cs="Times New Roman"/>
          <w:sz w:val="20"/>
          <w:szCs w:val="20"/>
        </w:rPr>
        <w:t xml:space="preserve"> hasta del</w:t>
      </w:r>
      <w:r w:rsidR="003B5520" w:rsidRPr="008D6D6A">
        <w:rPr>
          <w:rFonts w:ascii="Verdana" w:hAnsi="Verdana" w:cs="Times New Roman"/>
          <w:sz w:val="20"/>
          <w:szCs w:val="20"/>
        </w:rPr>
        <w:t xml:space="preserve"> propio tratado entre las partes</w:t>
      </w:r>
      <w:r w:rsidR="003B5520" w:rsidRPr="008D6D6A">
        <w:rPr>
          <w:rStyle w:val="Refdenotaalpie"/>
          <w:rFonts w:ascii="Verdana" w:hAnsi="Verdana" w:cs="Times New Roman"/>
          <w:sz w:val="20"/>
          <w:szCs w:val="20"/>
        </w:rPr>
        <w:footnoteReference w:id="72"/>
      </w:r>
      <w:r w:rsidR="00E121C2" w:rsidRPr="008D6D6A">
        <w:rPr>
          <w:rFonts w:ascii="Verdana" w:hAnsi="Verdana" w:cs="Times New Roman"/>
          <w:sz w:val="20"/>
          <w:szCs w:val="20"/>
        </w:rPr>
        <w:t xml:space="preserve"> cuando </w:t>
      </w:r>
      <w:r w:rsidR="008A7DCF" w:rsidRPr="008D6D6A">
        <w:rPr>
          <w:rFonts w:ascii="Verdana" w:hAnsi="Verdana" w:cs="Times New Roman"/>
          <w:sz w:val="20"/>
          <w:szCs w:val="20"/>
        </w:rPr>
        <w:t>é</w:t>
      </w:r>
      <w:r w:rsidR="00932CB5" w:rsidRPr="008D6D6A">
        <w:rPr>
          <w:rFonts w:ascii="Verdana" w:hAnsi="Verdana" w:cs="Times New Roman"/>
          <w:sz w:val="20"/>
          <w:szCs w:val="20"/>
        </w:rPr>
        <w:t>ste guarde silencio al respecto. E</w:t>
      </w:r>
      <w:r w:rsidR="005D09F0" w:rsidRPr="008D6D6A">
        <w:rPr>
          <w:rFonts w:ascii="Verdana" w:hAnsi="Verdana" w:cs="Times New Roman"/>
          <w:sz w:val="20"/>
          <w:szCs w:val="20"/>
        </w:rPr>
        <w:t>l presente artículo no</w:t>
      </w:r>
      <w:r w:rsidR="00E3047C" w:rsidRPr="008D6D6A">
        <w:rPr>
          <w:rFonts w:ascii="Verdana" w:hAnsi="Verdana" w:cs="Times New Roman"/>
          <w:sz w:val="20"/>
          <w:szCs w:val="20"/>
        </w:rPr>
        <w:t xml:space="preserve"> es más que el reflejo que evidencia el interés de la CNUDMI por potenciar la publicidad, la divulgación</w:t>
      </w:r>
      <w:r w:rsidR="00BB43C3" w:rsidRPr="008D6D6A">
        <w:rPr>
          <w:rFonts w:ascii="Verdana" w:hAnsi="Verdana" w:cs="Times New Roman"/>
          <w:sz w:val="20"/>
          <w:szCs w:val="20"/>
        </w:rPr>
        <w:t>,</w:t>
      </w:r>
      <w:r w:rsidR="00E3047C" w:rsidRPr="008D6D6A">
        <w:rPr>
          <w:rFonts w:ascii="Verdana" w:hAnsi="Verdana" w:cs="Times New Roman"/>
          <w:sz w:val="20"/>
          <w:szCs w:val="20"/>
        </w:rPr>
        <w:t xml:space="preserve"> el conocimiento público del a</w:t>
      </w:r>
      <w:r w:rsidR="002E3E59" w:rsidRPr="008D6D6A">
        <w:rPr>
          <w:rFonts w:ascii="Verdana" w:hAnsi="Verdana" w:cs="Times New Roman"/>
          <w:sz w:val="20"/>
          <w:szCs w:val="20"/>
        </w:rPr>
        <w:t>rbitraje de inversiones</w:t>
      </w:r>
      <w:r w:rsidR="00651DD4" w:rsidRPr="008D6D6A">
        <w:rPr>
          <w:rFonts w:ascii="Verdana" w:hAnsi="Verdana" w:cs="Times New Roman"/>
          <w:sz w:val="20"/>
          <w:szCs w:val="20"/>
        </w:rPr>
        <w:t xml:space="preserve"> </w:t>
      </w:r>
      <w:r w:rsidR="002E3E59" w:rsidRPr="008D6D6A">
        <w:rPr>
          <w:rFonts w:ascii="Verdana" w:hAnsi="Verdana" w:cs="Times New Roman"/>
          <w:sz w:val="20"/>
          <w:szCs w:val="20"/>
        </w:rPr>
        <w:t xml:space="preserve">como elementos caracterizadores </w:t>
      </w:r>
      <w:r w:rsidR="00E3047C" w:rsidRPr="008D6D6A">
        <w:rPr>
          <w:rFonts w:ascii="Verdana" w:hAnsi="Verdana" w:cs="Times New Roman"/>
          <w:sz w:val="20"/>
          <w:szCs w:val="20"/>
        </w:rPr>
        <w:t xml:space="preserve">de la </w:t>
      </w:r>
      <w:r w:rsidR="00BB43C3" w:rsidRPr="008D6D6A">
        <w:rPr>
          <w:rFonts w:ascii="Verdana" w:hAnsi="Verdana" w:cs="Times New Roman"/>
          <w:sz w:val="20"/>
          <w:szCs w:val="20"/>
        </w:rPr>
        <w:t>t</w:t>
      </w:r>
      <w:r w:rsidR="00530669" w:rsidRPr="008D6D6A">
        <w:rPr>
          <w:rFonts w:ascii="Verdana" w:hAnsi="Verdana" w:cs="Times New Roman"/>
          <w:sz w:val="20"/>
          <w:szCs w:val="20"/>
        </w:rPr>
        <w:t>ransparencia en este tipo de</w:t>
      </w:r>
      <w:r w:rsidR="002E3E59" w:rsidRPr="008D6D6A">
        <w:rPr>
          <w:rFonts w:ascii="Verdana" w:hAnsi="Verdana" w:cs="Times New Roman"/>
          <w:sz w:val="20"/>
          <w:szCs w:val="20"/>
        </w:rPr>
        <w:t xml:space="preserve"> arbitrajes.</w:t>
      </w:r>
      <w:r w:rsidR="00FA2CA1" w:rsidRPr="008D6D6A">
        <w:rPr>
          <w:rFonts w:ascii="Verdana" w:hAnsi="Verdana" w:cs="Times New Roman"/>
          <w:sz w:val="20"/>
          <w:szCs w:val="20"/>
        </w:rPr>
        <w:t xml:space="preserve"> En este sentido, consideramos que la norma analizada carece de precisión, debe establecer un término razonablemente prudencial a través del cual las partes puedan hacer llegar la notificación del arbitraje al a</w:t>
      </w:r>
      <w:r w:rsidR="004D1183" w:rsidRPr="008D6D6A">
        <w:rPr>
          <w:rFonts w:ascii="Verdana" w:hAnsi="Verdana" w:cs="Times New Roman"/>
          <w:sz w:val="20"/>
          <w:szCs w:val="20"/>
        </w:rPr>
        <w:t xml:space="preserve">rchivo y que éste pueda hacer pública la información requerida. Así pues, una propuesta de redacción de la </w:t>
      </w:r>
      <w:r w:rsidR="0084077F" w:rsidRPr="008D6D6A">
        <w:rPr>
          <w:rFonts w:ascii="Verdana" w:hAnsi="Verdana" w:cs="Times New Roman"/>
          <w:sz w:val="20"/>
          <w:szCs w:val="20"/>
        </w:rPr>
        <w:t>norma pu</w:t>
      </w:r>
      <w:r w:rsidR="003E4E0D" w:rsidRPr="008D6D6A">
        <w:rPr>
          <w:rFonts w:ascii="Verdana" w:hAnsi="Verdana" w:cs="Times New Roman"/>
          <w:sz w:val="20"/>
          <w:szCs w:val="20"/>
        </w:rPr>
        <w:t xml:space="preserve">ede ser la </w:t>
      </w:r>
      <w:r w:rsidR="003E4E0D" w:rsidRPr="008D6D6A">
        <w:rPr>
          <w:rFonts w:ascii="Verdana" w:hAnsi="Verdana" w:cs="Times New Roman"/>
          <w:sz w:val="20"/>
          <w:szCs w:val="20"/>
        </w:rPr>
        <w:lastRenderedPageBreak/>
        <w:t>siguiente:</w:t>
      </w:r>
      <w:r w:rsidR="00B17B29" w:rsidRPr="008D6D6A">
        <w:rPr>
          <w:rFonts w:ascii="Verdana" w:hAnsi="Verdana" w:cs="Times New Roman"/>
          <w:sz w:val="20"/>
          <w:szCs w:val="20"/>
        </w:rPr>
        <w:t xml:space="preserve"> </w:t>
      </w:r>
      <w:r w:rsidR="0084077F" w:rsidRPr="008D6D6A">
        <w:rPr>
          <w:rFonts w:ascii="Verdana" w:hAnsi="Verdana" w:cs="Times New Roman"/>
          <w:i/>
          <w:sz w:val="20"/>
          <w:szCs w:val="20"/>
        </w:rPr>
        <w:t xml:space="preserve">una vez que el demandado reciba la notificación del arbitraje, cada </w:t>
      </w:r>
      <w:r w:rsidR="00B17B29" w:rsidRPr="008D6D6A">
        <w:rPr>
          <w:rFonts w:ascii="Verdana" w:hAnsi="Verdana" w:cs="Times New Roman"/>
          <w:i/>
          <w:sz w:val="20"/>
          <w:szCs w:val="20"/>
        </w:rPr>
        <w:t xml:space="preserve">una </w:t>
      </w:r>
      <w:r w:rsidR="0084077F" w:rsidRPr="008D6D6A">
        <w:rPr>
          <w:rFonts w:ascii="Verdana" w:hAnsi="Verdana" w:cs="Times New Roman"/>
          <w:i/>
          <w:sz w:val="20"/>
          <w:szCs w:val="20"/>
        </w:rPr>
        <w:t>de las partes litigantes transmitirá en el plazo de 10 días naturales</w:t>
      </w:r>
      <w:r w:rsidR="00B17B29" w:rsidRPr="008D6D6A">
        <w:rPr>
          <w:rFonts w:ascii="Verdana" w:hAnsi="Verdana" w:cs="Times New Roman"/>
          <w:i/>
          <w:sz w:val="20"/>
          <w:szCs w:val="20"/>
        </w:rPr>
        <w:t xml:space="preserve"> una copia al archivo mencionado en el artículo 8</w:t>
      </w:r>
      <w:r w:rsidR="003E4E0D" w:rsidRPr="008D6D6A">
        <w:rPr>
          <w:rFonts w:ascii="Verdana" w:hAnsi="Verdana" w:cs="Times New Roman"/>
          <w:i/>
          <w:sz w:val="20"/>
          <w:szCs w:val="20"/>
        </w:rPr>
        <w:t xml:space="preserve"> del Reglamento</w:t>
      </w:r>
      <w:r w:rsidR="00B17B29" w:rsidRPr="008D6D6A">
        <w:rPr>
          <w:rFonts w:ascii="Verdana" w:hAnsi="Verdana" w:cs="Times New Roman"/>
          <w:i/>
          <w:sz w:val="20"/>
          <w:szCs w:val="20"/>
        </w:rPr>
        <w:t>. El archivo, tras recibir la notificación de arbitraje del demandado, o la notificación del arbitraje y el registro de su transmisión al demandado, hará público en un plazo de 10 días naturales la información relativa al nombre de las partes litigantes, el sector económico afectado y el tratado en virtud del cual se formula la demanda</w:t>
      </w:r>
      <w:r w:rsidR="00B17B29" w:rsidRPr="008D6D6A">
        <w:rPr>
          <w:rFonts w:ascii="Verdana" w:hAnsi="Verdana" w:cs="Times New Roman"/>
          <w:sz w:val="20"/>
          <w:szCs w:val="20"/>
        </w:rPr>
        <w:t>.</w:t>
      </w:r>
    </w:p>
    <w:p w:rsidR="004C2FAA" w:rsidRPr="008D6D6A" w:rsidRDefault="00173E0E"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La segunda cuestión</w:t>
      </w:r>
      <w:r w:rsidR="00233721" w:rsidRPr="008D6D6A">
        <w:rPr>
          <w:rFonts w:ascii="Verdana" w:hAnsi="Verdana" w:cs="Times New Roman"/>
          <w:sz w:val="20"/>
          <w:szCs w:val="20"/>
        </w:rPr>
        <w:t xml:space="preserve">, es </w:t>
      </w:r>
      <w:r w:rsidR="009C64BC" w:rsidRPr="008D6D6A">
        <w:rPr>
          <w:rFonts w:ascii="Verdana" w:hAnsi="Verdana" w:cs="Times New Roman"/>
          <w:sz w:val="20"/>
          <w:szCs w:val="20"/>
        </w:rPr>
        <w:t xml:space="preserve">la </w:t>
      </w:r>
      <w:r w:rsidR="00233721" w:rsidRPr="008D6D6A">
        <w:rPr>
          <w:rFonts w:ascii="Verdana" w:hAnsi="Verdana" w:cs="Times New Roman"/>
          <w:sz w:val="20"/>
          <w:szCs w:val="20"/>
        </w:rPr>
        <w:t>relacion</w:t>
      </w:r>
      <w:r w:rsidRPr="008D6D6A">
        <w:rPr>
          <w:rFonts w:ascii="Verdana" w:hAnsi="Verdana" w:cs="Times New Roman"/>
          <w:sz w:val="20"/>
          <w:szCs w:val="20"/>
        </w:rPr>
        <w:t>ada con la publicación de la</w:t>
      </w:r>
      <w:r w:rsidR="00233721" w:rsidRPr="008D6D6A">
        <w:rPr>
          <w:rFonts w:ascii="Verdana" w:hAnsi="Verdana" w:cs="Times New Roman"/>
          <w:sz w:val="20"/>
          <w:szCs w:val="20"/>
        </w:rPr>
        <w:t xml:space="preserve"> información </w:t>
      </w:r>
      <w:r w:rsidR="002E3E59" w:rsidRPr="008D6D6A">
        <w:rPr>
          <w:rFonts w:ascii="Verdana" w:hAnsi="Verdana" w:cs="Times New Roman"/>
          <w:sz w:val="20"/>
          <w:szCs w:val="20"/>
        </w:rPr>
        <w:t>b</w:t>
      </w:r>
      <w:r w:rsidR="005D09F0" w:rsidRPr="008D6D6A">
        <w:rPr>
          <w:rFonts w:ascii="Verdana" w:hAnsi="Verdana" w:cs="Times New Roman"/>
          <w:sz w:val="20"/>
          <w:szCs w:val="20"/>
        </w:rPr>
        <w:t>ásica del arbitraje, dígase</w:t>
      </w:r>
      <w:r w:rsidRPr="008D6D6A">
        <w:rPr>
          <w:rFonts w:ascii="Verdana" w:hAnsi="Verdana" w:cs="Times New Roman"/>
          <w:sz w:val="20"/>
          <w:szCs w:val="20"/>
        </w:rPr>
        <w:t xml:space="preserve"> el nombre de las partes litigantes, el sector económico afectado y el tratado en virtud del cual se formula la demand</w:t>
      </w:r>
      <w:r w:rsidR="00932CB5" w:rsidRPr="008D6D6A">
        <w:rPr>
          <w:rFonts w:ascii="Verdana" w:hAnsi="Verdana" w:cs="Times New Roman"/>
          <w:sz w:val="20"/>
          <w:szCs w:val="20"/>
        </w:rPr>
        <w:t>a. En este sentido, creemos</w:t>
      </w:r>
      <w:r w:rsidRPr="008D6D6A">
        <w:rPr>
          <w:rFonts w:ascii="Verdana" w:hAnsi="Verdana" w:cs="Times New Roman"/>
          <w:sz w:val="20"/>
          <w:szCs w:val="20"/>
        </w:rPr>
        <w:t xml:space="preserve"> que la información </w:t>
      </w:r>
      <w:r w:rsidR="002A792A" w:rsidRPr="008D6D6A">
        <w:rPr>
          <w:rFonts w:ascii="Verdana" w:hAnsi="Verdana" w:cs="Times New Roman"/>
          <w:sz w:val="20"/>
          <w:szCs w:val="20"/>
        </w:rPr>
        <w:t xml:space="preserve">es </w:t>
      </w:r>
      <w:r w:rsidRPr="008D6D6A">
        <w:rPr>
          <w:rFonts w:ascii="Verdana" w:hAnsi="Verdana" w:cs="Times New Roman"/>
          <w:sz w:val="20"/>
          <w:szCs w:val="20"/>
        </w:rPr>
        <w:t xml:space="preserve">muy escueta, demasiada pobre. </w:t>
      </w:r>
      <w:r w:rsidR="0002271A" w:rsidRPr="008D6D6A">
        <w:rPr>
          <w:rFonts w:ascii="Verdana" w:hAnsi="Verdana" w:cs="Times New Roman"/>
          <w:sz w:val="20"/>
          <w:szCs w:val="20"/>
        </w:rPr>
        <w:t>Consideramos</w:t>
      </w:r>
      <w:r w:rsidRPr="008D6D6A">
        <w:rPr>
          <w:rFonts w:ascii="Verdana" w:hAnsi="Verdana" w:cs="Times New Roman"/>
          <w:sz w:val="20"/>
          <w:szCs w:val="20"/>
        </w:rPr>
        <w:t xml:space="preserve"> </w:t>
      </w:r>
      <w:r w:rsidR="003426AD" w:rsidRPr="008D6D6A">
        <w:rPr>
          <w:rFonts w:ascii="Verdana" w:hAnsi="Verdana" w:cs="Times New Roman"/>
          <w:sz w:val="20"/>
          <w:szCs w:val="20"/>
        </w:rPr>
        <w:t>que</w:t>
      </w:r>
      <w:r w:rsidRPr="008D6D6A">
        <w:rPr>
          <w:rFonts w:ascii="Verdana" w:hAnsi="Verdana" w:cs="Times New Roman"/>
          <w:sz w:val="20"/>
          <w:szCs w:val="20"/>
        </w:rPr>
        <w:t xml:space="preserve"> </w:t>
      </w:r>
      <w:r w:rsidR="002A792A" w:rsidRPr="008D6D6A">
        <w:rPr>
          <w:rFonts w:ascii="Verdana" w:hAnsi="Verdana" w:cs="Times New Roman"/>
          <w:sz w:val="20"/>
          <w:szCs w:val="20"/>
        </w:rPr>
        <w:t>si la transparencia reconoce como fundamento esencial el acceso público a dicha información, ésta debe ser lo más amplia posible, no puede circunscribirse a la simple información básica, debe ir mucho más all</w:t>
      </w:r>
      <w:r w:rsidR="00DF0F5F" w:rsidRPr="008D6D6A">
        <w:rPr>
          <w:rFonts w:ascii="Verdana" w:hAnsi="Verdana" w:cs="Times New Roman"/>
          <w:sz w:val="20"/>
          <w:szCs w:val="20"/>
        </w:rPr>
        <w:t>á</w:t>
      </w:r>
      <w:r w:rsidR="002A792A" w:rsidRPr="008D6D6A">
        <w:rPr>
          <w:rFonts w:ascii="Verdana" w:hAnsi="Verdana" w:cs="Times New Roman"/>
          <w:sz w:val="20"/>
          <w:szCs w:val="20"/>
        </w:rPr>
        <w:t>, pudiendo incluir tambi</w:t>
      </w:r>
      <w:r w:rsidR="002F42AC" w:rsidRPr="008D6D6A">
        <w:rPr>
          <w:rFonts w:ascii="Verdana" w:hAnsi="Verdana" w:cs="Times New Roman"/>
          <w:sz w:val="20"/>
          <w:szCs w:val="20"/>
        </w:rPr>
        <w:t>én</w:t>
      </w:r>
      <w:r w:rsidR="002A792A" w:rsidRPr="008D6D6A">
        <w:rPr>
          <w:rFonts w:ascii="Verdana" w:hAnsi="Verdana" w:cs="Times New Roman"/>
          <w:sz w:val="20"/>
          <w:szCs w:val="20"/>
        </w:rPr>
        <w:t xml:space="preserve"> la normativa que rige dicho arbitraje</w:t>
      </w:r>
      <w:r w:rsidR="005D09F0" w:rsidRPr="008D6D6A">
        <w:rPr>
          <w:rFonts w:ascii="Verdana" w:hAnsi="Verdana" w:cs="Times New Roman"/>
          <w:sz w:val="20"/>
          <w:szCs w:val="20"/>
        </w:rPr>
        <w:t>,</w:t>
      </w:r>
      <w:r w:rsidR="002F42AC" w:rsidRPr="008D6D6A">
        <w:rPr>
          <w:rFonts w:ascii="Verdana" w:hAnsi="Verdana" w:cs="Times New Roman"/>
          <w:sz w:val="20"/>
          <w:szCs w:val="20"/>
        </w:rPr>
        <w:t xml:space="preserve"> los hechos o actos que sirven de base </w:t>
      </w:r>
      <w:r w:rsidR="005D09F0" w:rsidRPr="008D6D6A">
        <w:rPr>
          <w:rFonts w:ascii="Verdana" w:hAnsi="Verdana" w:cs="Times New Roman"/>
          <w:sz w:val="20"/>
          <w:szCs w:val="20"/>
        </w:rPr>
        <w:t>a la demanda,</w:t>
      </w:r>
      <w:r w:rsidR="002F42AC" w:rsidRPr="008D6D6A">
        <w:rPr>
          <w:rFonts w:ascii="Verdana" w:hAnsi="Verdana" w:cs="Times New Roman"/>
          <w:sz w:val="20"/>
          <w:szCs w:val="20"/>
        </w:rPr>
        <w:t xml:space="preserve"> o la propia demanda en sí. </w:t>
      </w:r>
      <w:r w:rsidR="00D1610F" w:rsidRPr="008D6D6A">
        <w:rPr>
          <w:rFonts w:ascii="Verdana" w:hAnsi="Verdana" w:cs="Times New Roman"/>
          <w:sz w:val="20"/>
          <w:szCs w:val="20"/>
        </w:rPr>
        <w:t xml:space="preserve">La información básica, por el propio carácter </w:t>
      </w:r>
      <w:r w:rsidR="00B059A1" w:rsidRPr="008D6D6A">
        <w:rPr>
          <w:rFonts w:ascii="Verdana" w:hAnsi="Verdana" w:cs="Times New Roman"/>
          <w:sz w:val="20"/>
          <w:szCs w:val="20"/>
        </w:rPr>
        <w:t>originaria de la misma, establecerá aquellos elementos que sustentarán la aplicación de la transp</w:t>
      </w:r>
      <w:r w:rsidR="005D09F0" w:rsidRPr="008D6D6A">
        <w:rPr>
          <w:rFonts w:ascii="Verdana" w:hAnsi="Verdana" w:cs="Times New Roman"/>
          <w:sz w:val="20"/>
          <w:szCs w:val="20"/>
        </w:rPr>
        <w:t>arencia en el momento inicial y</w:t>
      </w:r>
      <w:r w:rsidR="00B059A1" w:rsidRPr="008D6D6A">
        <w:rPr>
          <w:rFonts w:ascii="Verdana" w:hAnsi="Verdana" w:cs="Times New Roman"/>
          <w:sz w:val="20"/>
          <w:szCs w:val="20"/>
        </w:rPr>
        <w:t xml:space="preserve"> puede servir </w:t>
      </w:r>
      <w:r w:rsidR="00313FA6" w:rsidRPr="008D6D6A">
        <w:rPr>
          <w:rFonts w:ascii="Verdana" w:hAnsi="Verdana" w:cs="Times New Roman"/>
          <w:sz w:val="20"/>
          <w:szCs w:val="20"/>
        </w:rPr>
        <w:t xml:space="preserve">como hilo conductor respecto a su aplicación </w:t>
      </w:r>
      <w:r w:rsidR="00B059A1" w:rsidRPr="008D6D6A">
        <w:rPr>
          <w:rFonts w:ascii="Verdana" w:hAnsi="Verdana" w:cs="Times New Roman"/>
          <w:sz w:val="20"/>
          <w:szCs w:val="20"/>
        </w:rPr>
        <w:t>durante todo el procedimiento</w:t>
      </w:r>
      <w:r w:rsidR="00313FA6" w:rsidRPr="008D6D6A">
        <w:rPr>
          <w:rStyle w:val="Refdenotaalpie"/>
          <w:rFonts w:ascii="Verdana" w:hAnsi="Verdana" w:cs="Times New Roman"/>
          <w:sz w:val="20"/>
          <w:szCs w:val="20"/>
        </w:rPr>
        <w:footnoteReference w:id="73"/>
      </w:r>
      <w:r w:rsidR="00313FA6" w:rsidRPr="008D6D6A">
        <w:rPr>
          <w:rFonts w:ascii="Verdana" w:hAnsi="Verdana" w:cs="Times New Roman"/>
          <w:sz w:val="20"/>
          <w:szCs w:val="20"/>
        </w:rPr>
        <w:t xml:space="preserve">. </w:t>
      </w:r>
    </w:p>
    <w:p w:rsidR="002F42AC" w:rsidRPr="008D6D6A" w:rsidRDefault="00E232CE"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Por otra parte</w:t>
      </w:r>
      <w:r w:rsidR="00DF0F5F" w:rsidRPr="008D6D6A">
        <w:rPr>
          <w:rFonts w:ascii="Verdana" w:hAnsi="Verdana" w:cs="Times New Roman"/>
          <w:sz w:val="20"/>
          <w:szCs w:val="20"/>
        </w:rPr>
        <w:t xml:space="preserve">, </w:t>
      </w:r>
      <w:r w:rsidR="004C2FAA" w:rsidRPr="008D6D6A">
        <w:rPr>
          <w:rFonts w:ascii="Verdana" w:hAnsi="Verdana" w:cs="Times New Roman"/>
          <w:sz w:val="20"/>
          <w:szCs w:val="20"/>
        </w:rPr>
        <w:t xml:space="preserve">la ampliación de la información básica, </w:t>
      </w:r>
      <w:r w:rsidR="002F42AC" w:rsidRPr="008D6D6A">
        <w:rPr>
          <w:rFonts w:ascii="Verdana" w:hAnsi="Verdana" w:cs="Times New Roman"/>
          <w:sz w:val="20"/>
          <w:szCs w:val="20"/>
        </w:rPr>
        <w:t>desde el propio inicio del procedimiento arbitral</w:t>
      </w:r>
      <w:r w:rsidR="004C2FAA" w:rsidRPr="008D6D6A">
        <w:rPr>
          <w:rFonts w:ascii="Verdana" w:hAnsi="Verdana" w:cs="Times New Roman"/>
          <w:sz w:val="20"/>
          <w:szCs w:val="20"/>
        </w:rPr>
        <w:t xml:space="preserve">, puede </w:t>
      </w:r>
      <w:r w:rsidR="00DF0F5F" w:rsidRPr="008D6D6A">
        <w:rPr>
          <w:rFonts w:ascii="Verdana" w:hAnsi="Verdana" w:cs="Times New Roman"/>
          <w:sz w:val="20"/>
          <w:szCs w:val="20"/>
        </w:rPr>
        <w:t xml:space="preserve">favorecer </w:t>
      </w:r>
      <w:r w:rsidR="004C2FAA" w:rsidRPr="008D6D6A">
        <w:rPr>
          <w:rFonts w:ascii="Verdana" w:hAnsi="Verdana" w:cs="Times New Roman"/>
          <w:sz w:val="20"/>
          <w:szCs w:val="20"/>
        </w:rPr>
        <w:t xml:space="preserve">también </w:t>
      </w:r>
      <w:r w:rsidR="002F42AC" w:rsidRPr="008D6D6A">
        <w:rPr>
          <w:rFonts w:ascii="Verdana" w:hAnsi="Verdana" w:cs="Times New Roman"/>
          <w:sz w:val="20"/>
          <w:szCs w:val="20"/>
        </w:rPr>
        <w:t xml:space="preserve">la participación de terceros, </w:t>
      </w:r>
      <w:r w:rsidR="002F42AC" w:rsidRPr="008D6D6A">
        <w:rPr>
          <w:rFonts w:ascii="Verdana" w:hAnsi="Verdana" w:cs="Times New Roman"/>
          <w:i/>
          <w:sz w:val="20"/>
          <w:szCs w:val="20"/>
        </w:rPr>
        <w:t>amicus curiae,</w:t>
      </w:r>
      <w:r w:rsidR="00DF0F5F" w:rsidRPr="008D6D6A">
        <w:rPr>
          <w:rFonts w:ascii="Verdana" w:hAnsi="Verdana" w:cs="Times New Roman"/>
          <w:sz w:val="20"/>
          <w:szCs w:val="20"/>
        </w:rPr>
        <w:t xml:space="preserve"> en el arbitraje</w:t>
      </w:r>
      <w:r w:rsidR="004C2FAA" w:rsidRPr="008D6D6A">
        <w:rPr>
          <w:rFonts w:ascii="Verdana" w:hAnsi="Verdana" w:cs="Times New Roman"/>
          <w:sz w:val="20"/>
          <w:szCs w:val="20"/>
        </w:rPr>
        <w:t xml:space="preserve"> de inversiones</w:t>
      </w:r>
      <w:r w:rsidR="00DF0F5F" w:rsidRPr="008D6D6A">
        <w:rPr>
          <w:rFonts w:ascii="Verdana" w:hAnsi="Verdana" w:cs="Times New Roman"/>
          <w:sz w:val="20"/>
          <w:szCs w:val="20"/>
        </w:rPr>
        <w:t>.</w:t>
      </w:r>
      <w:r w:rsidR="002F42AC" w:rsidRPr="008D6D6A">
        <w:rPr>
          <w:rFonts w:ascii="Verdana" w:hAnsi="Verdana" w:cs="Times New Roman"/>
          <w:sz w:val="20"/>
          <w:szCs w:val="20"/>
        </w:rPr>
        <w:t xml:space="preserve"> </w:t>
      </w:r>
      <w:r w:rsidR="00DF0F5F" w:rsidRPr="008D6D6A">
        <w:rPr>
          <w:rFonts w:ascii="Verdana" w:hAnsi="Verdana" w:cs="Times New Roman"/>
          <w:sz w:val="20"/>
          <w:szCs w:val="20"/>
        </w:rPr>
        <w:t>D</w:t>
      </w:r>
      <w:r w:rsidR="002F42AC" w:rsidRPr="008D6D6A">
        <w:rPr>
          <w:rFonts w:ascii="Verdana" w:hAnsi="Verdana" w:cs="Times New Roman"/>
          <w:sz w:val="20"/>
          <w:szCs w:val="20"/>
        </w:rPr>
        <w:t>e lo contrario</w:t>
      </w:r>
      <w:r w:rsidR="00DF0F5F" w:rsidRPr="008D6D6A">
        <w:rPr>
          <w:rFonts w:ascii="Verdana" w:hAnsi="Verdana" w:cs="Times New Roman"/>
          <w:sz w:val="20"/>
          <w:szCs w:val="20"/>
        </w:rPr>
        <w:t xml:space="preserve">, </w:t>
      </w:r>
      <w:r w:rsidR="002F42AC" w:rsidRPr="008D6D6A">
        <w:rPr>
          <w:rFonts w:ascii="Verdana" w:hAnsi="Verdana" w:cs="Times New Roman"/>
          <w:sz w:val="20"/>
          <w:szCs w:val="20"/>
        </w:rPr>
        <w:t>sería dif</w:t>
      </w:r>
      <w:r w:rsidR="00DF0F5F" w:rsidRPr="008D6D6A">
        <w:rPr>
          <w:rFonts w:ascii="Verdana" w:hAnsi="Verdana" w:cs="Times New Roman"/>
          <w:sz w:val="20"/>
          <w:szCs w:val="20"/>
        </w:rPr>
        <w:t>ícil</w:t>
      </w:r>
      <w:r w:rsidR="002F42AC" w:rsidRPr="008D6D6A">
        <w:rPr>
          <w:rFonts w:ascii="Verdana" w:hAnsi="Verdana" w:cs="Times New Roman"/>
          <w:sz w:val="20"/>
          <w:szCs w:val="20"/>
        </w:rPr>
        <w:t xml:space="preserve"> </w:t>
      </w:r>
      <w:r w:rsidR="00DF0F5F" w:rsidRPr="008D6D6A">
        <w:rPr>
          <w:rFonts w:ascii="Verdana" w:hAnsi="Verdana" w:cs="Times New Roman"/>
          <w:sz w:val="20"/>
          <w:szCs w:val="20"/>
        </w:rPr>
        <w:t>-</w:t>
      </w:r>
      <w:r w:rsidR="002F42AC" w:rsidRPr="008D6D6A">
        <w:rPr>
          <w:rFonts w:ascii="Verdana" w:hAnsi="Verdana" w:cs="Times New Roman"/>
          <w:sz w:val="20"/>
          <w:szCs w:val="20"/>
        </w:rPr>
        <w:t>aunque no imposible</w:t>
      </w:r>
      <w:r w:rsidR="00DF0F5F" w:rsidRPr="008D6D6A">
        <w:rPr>
          <w:rFonts w:ascii="Verdana" w:hAnsi="Verdana" w:cs="Times New Roman"/>
          <w:sz w:val="20"/>
          <w:szCs w:val="20"/>
        </w:rPr>
        <w:t>-</w:t>
      </w:r>
      <w:r w:rsidR="00F06339" w:rsidRPr="008D6D6A">
        <w:rPr>
          <w:rFonts w:ascii="Verdana" w:hAnsi="Verdana" w:cs="Times New Roman"/>
          <w:sz w:val="20"/>
          <w:szCs w:val="20"/>
        </w:rPr>
        <w:t xml:space="preserve"> su participación, pues carecerían de </w:t>
      </w:r>
      <w:r w:rsidR="002F42AC" w:rsidRPr="008D6D6A">
        <w:rPr>
          <w:rFonts w:ascii="Verdana" w:hAnsi="Verdana" w:cs="Times New Roman"/>
          <w:sz w:val="20"/>
          <w:szCs w:val="20"/>
        </w:rPr>
        <w:t>información suficiente para fundamentar sus escritos</w:t>
      </w:r>
      <w:r w:rsidR="00BB43C3" w:rsidRPr="008D6D6A">
        <w:rPr>
          <w:rFonts w:ascii="Verdana" w:hAnsi="Verdana" w:cs="Times New Roman"/>
          <w:sz w:val="20"/>
          <w:szCs w:val="20"/>
        </w:rPr>
        <w:t xml:space="preserve">, </w:t>
      </w:r>
      <w:r w:rsidR="00F06339" w:rsidRPr="008D6D6A">
        <w:rPr>
          <w:rFonts w:ascii="Verdana" w:hAnsi="Verdana" w:cs="Times New Roman"/>
          <w:sz w:val="20"/>
          <w:szCs w:val="20"/>
        </w:rPr>
        <w:t xml:space="preserve">cosa que, por el contrario, podría resultar perfectamente </w:t>
      </w:r>
      <w:r w:rsidR="00BB43C3" w:rsidRPr="008D6D6A">
        <w:rPr>
          <w:rFonts w:ascii="Verdana" w:hAnsi="Verdana" w:cs="Times New Roman"/>
          <w:sz w:val="20"/>
          <w:szCs w:val="20"/>
        </w:rPr>
        <w:t xml:space="preserve">viable </w:t>
      </w:r>
      <w:r w:rsidR="00F06339" w:rsidRPr="008D6D6A">
        <w:rPr>
          <w:rFonts w:ascii="Verdana" w:hAnsi="Verdana" w:cs="Times New Roman"/>
          <w:sz w:val="20"/>
          <w:szCs w:val="20"/>
        </w:rPr>
        <w:t xml:space="preserve">si, </w:t>
      </w:r>
      <w:r w:rsidR="00BB43C3" w:rsidRPr="008D6D6A">
        <w:rPr>
          <w:rFonts w:ascii="Verdana" w:hAnsi="Verdana" w:cs="Times New Roman"/>
          <w:sz w:val="20"/>
          <w:szCs w:val="20"/>
        </w:rPr>
        <w:t xml:space="preserve">desde los albores del </w:t>
      </w:r>
      <w:r w:rsidR="004C2FAA" w:rsidRPr="008D6D6A">
        <w:rPr>
          <w:rFonts w:ascii="Verdana" w:hAnsi="Verdana" w:cs="Times New Roman"/>
          <w:sz w:val="20"/>
          <w:szCs w:val="20"/>
        </w:rPr>
        <w:t xml:space="preserve">propio </w:t>
      </w:r>
      <w:r w:rsidR="00BB43C3" w:rsidRPr="008D6D6A">
        <w:rPr>
          <w:rFonts w:ascii="Verdana" w:hAnsi="Verdana" w:cs="Times New Roman"/>
          <w:sz w:val="20"/>
          <w:szCs w:val="20"/>
        </w:rPr>
        <w:t>arbitraje</w:t>
      </w:r>
      <w:r w:rsidR="00F06339" w:rsidRPr="008D6D6A">
        <w:rPr>
          <w:rFonts w:ascii="Verdana" w:hAnsi="Verdana" w:cs="Times New Roman"/>
          <w:sz w:val="20"/>
          <w:szCs w:val="20"/>
        </w:rPr>
        <w:t>, se les hubiese suministrado dicha información</w:t>
      </w:r>
      <w:r w:rsidR="002F42AC" w:rsidRPr="008D6D6A">
        <w:rPr>
          <w:rFonts w:ascii="Verdana" w:hAnsi="Verdana" w:cs="Times New Roman"/>
          <w:sz w:val="20"/>
          <w:szCs w:val="20"/>
        </w:rPr>
        <w:t xml:space="preserve">. </w:t>
      </w:r>
    </w:p>
    <w:p w:rsidR="00DA3C27" w:rsidRDefault="0023372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Respecto al</w:t>
      </w:r>
      <w:r w:rsidR="00212237" w:rsidRPr="008D6D6A">
        <w:rPr>
          <w:rFonts w:ascii="Verdana" w:hAnsi="Verdana" w:cs="Times New Roman"/>
          <w:sz w:val="20"/>
          <w:szCs w:val="20"/>
        </w:rPr>
        <w:t xml:space="preserve"> archivo o repositorio</w:t>
      </w:r>
      <w:r w:rsidR="00352A2B" w:rsidRPr="008D6D6A">
        <w:rPr>
          <w:rFonts w:ascii="Verdana" w:hAnsi="Verdana" w:cs="Times New Roman"/>
          <w:sz w:val="20"/>
          <w:szCs w:val="20"/>
        </w:rPr>
        <w:t>,</w:t>
      </w:r>
      <w:r w:rsidR="00D60D07" w:rsidRPr="008D6D6A">
        <w:rPr>
          <w:rFonts w:ascii="Verdana" w:hAnsi="Verdana" w:cs="Times New Roman"/>
          <w:sz w:val="20"/>
          <w:szCs w:val="20"/>
        </w:rPr>
        <w:t xml:space="preserve"> </w:t>
      </w:r>
      <w:r w:rsidR="00DE37BC" w:rsidRPr="008D6D6A">
        <w:rPr>
          <w:rFonts w:ascii="Verdana" w:hAnsi="Verdana" w:cs="Times New Roman"/>
          <w:sz w:val="20"/>
          <w:szCs w:val="20"/>
        </w:rPr>
        <w:t xml:space="preserve">el cual </w:t>
      </w:r>
      <w:r w:rsidR="00BE4EBC" w:rsidRPr="008D6D6A">
        <w:rPr>
          <w:rFonts w:ascii="Verdana" w:hAnsi="Verdana" w:cs="Times New Roman"/>
          <w:sz w:val="20"/>
          <w:szCs w:val="20"/>
        </w:rPr>
        <w:t>debe</w:t>
      </w:r>
      <w:r w:rsidR="00212237" w:rsidRPr="008D6D6A">
        <w:rPr>
          <w:rFonts w:ascii="Verdana" w:hAnsi="Verdana" w:cs="Times New Roman"/>
          <w:sz w:val="20"/>
          <w:szCs w:val="20"/>
        </w:rPr>
        <w:t xml:space="preserve"> poner a disposición pública la información</w:t>
      </w:r>
      <w:r w:rsidR="00D60D07" w:rsidRPr="008D6D6A">
        <w:rPr>
          <w:rFonts w:ascii="Verdana" w:hAnsi="Verdana" w:cs="Times New Roman"/>
          <w:sz w:val="20"/>
          <w:szCs w:val="20"/>
        </w:rPr>
        <w:t xml:space="preserve"> que se</w:t>
      </w:r>
      <w:r w:rsidR="002574E6" w:rsidRPr="008D6D6A">
        <w:rPr>
          <w:rFonts w:ascii="Verdana" w:hAnsi="Verdana" w:cs="Times New Roman"/>
          <w:sz w:val="20"/>
          <w:szCs w:val="20"/>
        </w:rPr>
        <w:t xml:space="preserve"> detallada</w:t>
      </w:r>
      <w:r w:rsidR="00352A2B" w:rsidRPr="008D6D6A">
        <w:rPr>
          <w:rFonts w:ascii="Verdana" w:hAnsi="Verdana" w:cs="Times New Roman"/>
          <w:sz w:val="20"/>
          <w:szCs w:val="20"/>
        </w:rPr>
        <w:t xml:space="preserve"> en el artículo 2</w:t>
      </w:r>
      <w:r w:rsidR="00DE37BC" w:rsidRPr="008D6D6A">
        <w:rPr>
          <w:rFonts w:ascii="Verdana" w:hAnsi="Verdana" w:cs="Times New Roman"/>
          <w:sz w:val="20"/>
          <w:szCs w:val="20"/>
        </w:rPr>
        <w:t xml:space="preserve">, </w:t>
      </w:r>
      <w:r w:rsidR="00542B8E" w:rsidRPr="008D6D6A">
        <w:rPr>
          <w:rFonts w:ascii="Verdana" w:hAnsi="Verdana" w:cs="Times New Roman"/>
          <w:sz w:val="20"/>
          <w:szCs w:val="20"/>
        </w:rPr>
        <w:t>en relación con el artículo 8 del propio Reglamento sobre</w:t>
      </w:r>
      <w:r w:rsidR="00DA3C27">
        <w:rPr>
          <w:rFonts w:ascii="Verdana" w:hAnsi="Verdana" w:cs="Times New Roman"/>
          <w:sz w:val="20"/>
          <w:szCs w:val="20"/>
        </w:rPr>
        <w:t xml:space="preserve"> la</w:t>
      </w:r>
      <w:r w:rsidR="00542B8E" w:rsidRPr="008D6D6A">
        <w:rPr>
          <w:rFonts w:ascii="Verdana" w:hAnsi="Verdana" w:cs="Times New Roman"/>
          <w:sz w:val="20"/>
          <w:szCs w:val="20"/>
        </w:rPr>
        <w:t xml:space="preserve"> Transparencia</w:t>
      </w:r>
      <w:r w:rsidR="00542B8E" w:rsidRPr="008D6D6A">
        <w:rPr>
          <w:rStyle w:val="Refdenotaalpie"/>
          <w:rFonts w:ascii="Verdana" w:hAnsi="Verdana" w:cs="Times New Roman"/>
          <w:sz w:val="20"/>
          <w:szCs w:val="20"/>
        </w:rPr>
        <w:footnoteReference w:id="74"/>
      </w:r>
      <w:r w:rsidR="00542B8E" w:rsidRPr="008D6D6A">
        <w:rPr>
          <w:rFonts w:ascii="Verdana" w:hAnsi="Verdana" w:cs="Times New Roman"/>
          <w:sz w:val="20"/>
          <w:szCs w:val="20"/>
        </w:rPr>
        <w:t xml:space="preserve">, </w:t>
      </w:r>
      <w:r w:rsidR="009C64BC" w:rsidRPr="008D6D6A">
        <w:rPr>
          <w:rFonts w:ascii="Verdana" w:hAnsi="Verdana" w:cs="Times New Roman"/>
          <w:sz w:val="20"/>
          <w:szCs w:val="20"/>
        </w:rPr>
        <w:t>parece</w:t>
      </w:r>
      <w:r w:rsidR="00DE37BC" w:rsidRPr="008D6D6A">
        <w:rPr>
          <w:rFonts w:ascii="Verdana" w:hAnsi="Verdana" w:cs="Times New Roman"/>
          <w:sz w:val="20"/>
          <w:szCs w:val="20"/>
        </w:rPr>
        <w:t xml:space="preserve"> que el mismo recaerá en</w:t>
      </w:r>
      <w:r w:rsidR="00542B8E" w:rsidRPr="008D6D6A">
        <w:rPr>
          <w:rFonts w:ascii="Verdana" w:hAnsi="Verdana" w:cs="Times New Roman"/>
          <w:sz w:val="20"/>
          <w:szCs w:val="20"/>
        </w:rPr>
        <w:t xml:space="preserve"> la Secretaria</w:t>
      </w:r>
      <w:r w:rsidR="00DE37BC" w:rsidRPr="008D6D6A">
        <w:rPr>
          <w:rFonts w:ascii="Verdana" w:hAnsi="Verdana" w:cs="Times New Roman"/>
          <w:sz w:val="20"/>
          <w:szCs w:val="20"/>
        </w:rPr>
        <w:t xml:space="preserve"> General o alguna instituci</w:t>
      </w:r>
      <w:r w:rsidR="00542B8E" w:rsidRPr="008D6D6A">
        <w:rPr>
          <w:rFonts w:ascii="Verdana" w:hAnsi="Verdana" w:cs="Times New Roman"/>
          <w:sz w:val="20"/>
          <w:szCs w:val="20"/>
        </w:rPr>
        <w:t>ón nombrada por la CNUDMI</w:t>
      </w:r>
      <w:r w:rsidR="00ED425B" w:rsidRPr="008D6D6A">
        <w:rPr>
          <w:rFonts w:ascii="Verdana" w:hAnsi="Verdana" w:cs="Times New Roman"/>
          <w:sz w:val="20"/>
          <w:szCs w:val="20"/>
        </w:rPr>
        <w:t xml:space="preserve">. </w:t>
      </w:r>
      <w:r w:rsidR="00D53398" w:rsidRPr="008D6D6A">
        <w:rPr>
          <w:rFonts w:ascii="Verdana" w:hAnsi="Verdana" w:cs="Times New Roman"/>
          <w:sz w:val="20"/>
          <w:szCs w:val="20"/>
        </w:rPr>
        <w:t>En aquellos</w:t>
      </w:r>
      <w:r w:rsidR="00BE4EBC" w:rsidRPr="008D6D6A">
        <w:rPr>
          <w:rFonts w:ascii="Verdana" w:hAnsi="Verdana" w:cs="Times New Roman"/>
          <w:sz w:val="20"/>
          <w:szCs w:val="20"/>
        </w:rPr>
        <w:t xml:space="preserve"> arbitrajes</w:t>
      </w:r>
      <w:r w:rsidR="00ED425B" w:rsidRPr="008D6D6A">
        <w:rPr>
          <w:rFonts w:ascii="Verdana" w:hAnsi="Verdana" w:cs="Times New Roman"/>
          <w:sz w:val="20"/>
          <w:szCs w:val="20"/>
        </w:rPr>
        <w:t xml:space="preserve"> de inversiones entablados bajo</w:t>
      </w:r>
      <w:r w:rsidR="00BE4EBC" w:rsidRPr="008D6D6A">
        <w:rPr>
          <w:rFonts w:ascii="Verdana" w:hAnsi="Verdana" w:cs="Times New Roman"/>
          <w:sz w:val="20"/>
          <w:szCs w:val="20"/>
        </w:rPr>
        <w:t xml:space="preserve"> reglas a</w:t>
      </w:r>
      <w:r w:rsidR="0033541A" w:rsidRPr="008D6D6A">
        <w:rPr>
          <w:rFonts w:ascii="Verdana" w:hAnsi="Verdana" w:cs="Times New Roman"/>
          <w:sz w:val="20"/>
          <w:szCs w:val="20"/>
        </w:rPr>
        <w:t>rbitrales distintas a la CNUDMI</w:t>
      </w:r>
      <w:r w:rsidR="00BE4EBC" w:rsidRPr="008D6D6A">
        <w:rPr>
          <w:rFonts w:ascii="Verdana" w:hAnsi="Verdana" w:cs="Times New Roman"/>
          <w:sz w:val="20"/>
          <w:szCs w:val="20"/>
        </w:rPr>
        <w:t xml:space="preserve"> </w:t>
      </w:r>
      <w:r w:rsidR="00352A2B" w:rsidRPr="008D6D6A">
        <w:rPr>
          <w:rFonts w:ascii="Verdana" w:hAnsi="Verdana" w:cs="Times New Roman"/>
          <w:sz w:val="20"/>
          <w:szCs w:val="20"/>
        </w:rPr>
        <w:t>y que se acojan al Reglamento sobre</w:t>
      </w:r>
      <w:r w:rsidR="00420EB0" w:rsidRPr="008D6D6A">
        <w:rPr>
          <w:rFonts w:ascii="Verdana" w:hAnsi="Verdana" w:cs="Times New Roman"/>
          <w:sz w:val="20"/>
          <w:szCs w:val="20"/>
        </w:rPr>
        <w:t xml:space="preserve"> la</w:t>
      </w:r>
      <w:r w:rsidR="006E5090" w:rsidRPr="008D6D6A">
        <w:rPr>
          <w:rFonts w:ascii="Verdana" w:hAnsi="Verdana" w:cs="Times New Roman"/>
          <w:sz w:val="20"/>
          <w:szCs w:val="20"/>
        </w:rPr>
        <w:t xml:space="preserve"> Transparencia</w:t>
      </w:r>
      <w:r w:rsidR="00352A2B" w:rsidRPr="008D6D6A">
        <w:rPr>
          <w:rFonts w:ascii="Verdana" w:hAnsi="Verdana" w:cs="Times New Roman"/>
          <w:sz w:val="20"/>
          <w:szCs w:val="20"/>
        </w:rPr>
        <w:t xml:space="preserve"> </w:t>
      </w:r>
      <w:r w:rsidR="00D119A8" w:rsidRPr="008D6D6A">
        <w:rPr>
          <w:rFonts w:ascii="Verdana" w:hAnsi="Verdana" w:cs="Times New Roman"/>
          <w:sz w:val="20"/>
          <w:szCs w:val="20"/>
        </w:rPr>
        <w:t>previa manifestación del consentimiento de las partes</w:t>
      </w:r>
      <w:r w:rsidR="004C747A" w:rsidRPr="008D6D6A">
        <w:rPr>
          <w:rFonts w:ascii="Verdana" w:hAnsi="Verdana" w:cs="Times New Roman"/>
          <w:sz w:val="20"/>
          <w:szCs w:val="20"/>
        </w:rPr>
        <w:t>,</w:t>
      </w:r>
      <w:r w:rsidR="00D119A8" w:rsidRPr="008D6D6A">
        <w:rPr>
          <w:rFonts w:ascii="Verdana" w:hAnsi="Verdana" w:cs="Times New Roman"/>
          <w:sz w:val="20"/>
          <w:szCs w:val="20"/>
        </w:rPr>
        <w:t xml:space="preserve"> </w:t>
      </w:r>
      <w:r w:rsidR="00BE4EBC" w:rsidRPr="008D6D6A">
        <w:rPr>
          <w:rFonts w:ascii="Verdana" w:hAnsi="Verdana" w:cs="Times New Roman"/>
          <w:sz w:val="20"/>
          <w:szCs w:val="20"/>
        </w:rPr>
        <w:t>como puede suceder</w:t>
      </w:r>
      <w:r w:rsidR="002574E6" w:rsidRPr="008D6D6A">
        <w:rPr>
          <w:rFonts w:ascii="Verdana" w:hAnsi="Verdana" w:cs="Times New Roman"/>
          <w:sz w:val="20"/>
          <w:szCs w:val="20"/>
        </w:rPr>
        <w:t>, por ejemplo,</w:t>
      </w:r>
      <w:r w:rsidR="00173AC1" w:rsidRPr="008D6D6A">
        <w:rPr>
          <w:rFonts w:ascii="Verdana" w:hAnsi="Verdana" w:cs="Times New Roman"/>
          <w:sz w:val="20"/>
          <w:szCs w:val="20"/>
        </w:rPr>
        <w:t xml:space="preserve"> a</w:t>
      </w:r>
      <w:r w:rsidR="00DE37BC" w:rsidRPr="008D6D6A">
        <w:rPr>
          <w:rFonts w:ascii="Verdana" w:hAnsi="Verdana" w:cs="Times New Roman"/>
          <w:sz w:val="20"/>
          <w:szCs w:val="20"/>
        </w:rPr>
        <w:t xml:space="preserve">nte </w:t>
      </w:r>
      <w:r w:rsidR="00BE4EBC" w:rsidRPr="008D6D6A">
        <w:rPr>
          <w:rFonts w:ascii="Verdana" w:hAnsi="Verdana" w:cs="Times New Roman"/>
          <w:sz w:val="20"/>
          <w:szCs w:val="20"/>
        </w:rPr>
        <w:t>el CIADI</w:t>
      </w:r>
      <w:r w:rsidR="001A0F96" w:rsidRPr="008D6D6A">
        <w:rPr>
          <w:rFonts w:ascii="Verdana" w:hAnsi="Verdana" w:cs="Times New Roman"/>
          <w:sz w:val="20"/>
          <w:szCs w:val="20"/>
        </w:rPr>
        <w:t>,</w:t>
      </w:r>
      <w:r w:rsidR="00542B8E" w:rsidRPr="008D6D6A">
        <w:rPr>
          <w:rFonts w:ascii="Verdana" w:hAnsi="Verdana" w:cs="Times New Roman"/>
          <w:sz w:val="20"/>
          <w:szCs w:val="20"/>
        </w:rPr>
        <w:t xml:space="preserve"> </w:t>
      </w:r>
      <w:r w:rsidR="0033541A" w:rsidRPr="008D6D6A">
        <w:rPr>
          <w:rFonts w:ascii="Verdana" w:hAnsi="Verdana" w:cs="Times New Roman"/>
          <w:sz w:val="20"/>
          <w:szCs w:val="20"/>
        </w:rPr>
        <w:t>resulta aceptable que la propia institución</w:t>
      </w:r>
      <w:r w:rsidR="00352A2B" w:rsidRPr="008D6D6A">
        <w:rPr>
          <w:rFonts w:ascii="Verdana" w:hAnsi="Verdana" w:cs="Times New Roman"/>
          <w:sz w:val="20"/>
          <w:szCs w:val="20"/>
        </w:rPr>
        <w:t xml:space="preserve"> </w:t>
      </w:r>
      <w:r w:rsidR="0033541A" w:rsidRPr="008D6D6A">
        <w:rPr>
          <w:rFonts w:ascii="Verdana" w:hAnsi="Verdana" w:cs="Times New Roman"/>
          <w:sz w:val="20"/>
          <w:szCs w:val="20"/>
        </w:rPr>
        <w:t>lleve</w:t>
      </w:r>
      <w:r w:rsidR="00352A2B" w:rsidRPr="008D6D6A">
        <w:rPr>
          <w:rFonts w:ascii="Verdana" w:hAnsi="Verdana" w:cs="Times New Roman"/>
          <w:sz w:val="20"/>
          <w:szCs w:val="20"/>
        </w:rPr>
        <w:t xml:space="preserve"> a</w:t>
      </w:r>
      <w:r w:rsidR="0033541A" w:rsidRPr="008D6D6A">
        <w:rPr>
          <w:rFonts w:ascii="Verdana" w:hAnsi="Verdana" w:cs="Times New Roman"/>
          <w:sz w:val="20"/>
          <w:szCs w:val="20"/>
        </w:rPr>
        <w:t xml:space="preserve"> </w:t>
      </w:r>
      <w:r w:rsidR="00352A2B" w:rsidRPr="008D6D6A">
        <w:rPr>
          <w:rFonts w:ascii="Verdana" w:hAnsi="Verdana" w:cs="Times New Roman"/>
          <w:sz w:val="20"/>
          <w:szCs w:val="20"/>
        </w:rPr>
        <w:t>cabo el registro y comunicación durante el arbitraje</w:t>
      </w:r>
      <w:r w:rsidR="004C2FAA" w:rsidRPr="008D6D6A">
        <w:rPr>
          <w:rFonts w:ascii="Verdana" w:hAnsi="Verdana" w:cs="Times New Roman"/>
          <w:sz w:val="20"/>
          <w:szCs w:val="20"/>
        </w:rPr>
        <w:t>, teniéndose en cuenta</w:t>
      </w:r>
      <w:r w:rsidR="0002271A" w:rsidRPr="008D6D6A">
        <w:rPr>
          <w:rFonts w:ascii="Verdana" w:hAnsi="Verdana" w:cs="Times New Roman"/>
          <w:sz w:val="20"/>
          <w:szCs w:val="20"/>
        </w:rPr>
        <w:t>,</w:t>
      </w:r>
      <w:r w:rsidR="00D119A8" w:rsidRPr="008D6D6A">
        <w:rPr>
          <w:rFonts w:ascii="Verdana" w:hAnsi="Verdana" w:cs="Times New Roman"/>
          <w:sz w:val="20"/>
          <w:szCs w:val="20"/>
        </w:rPr>
        <w:t xml:space="preserve"> también, </w:t>
      </w:r>
      <w:r w:rsidR="00542B8E" w:rsidRPr="008D6D6A">
        <w:rPr>
          <w:rFonts w:ascii="Verdana" w:hAnsi="Verdana" w:cs="Times New Roman"/>
          <w:sz w:val="20"/>
          <w:szCs w:val="20"/>
        </w:rPr>
        <w:t xml:space="preserve">lo </w:t>
      </w:r>
      <w:r w:rsidR="00ED425B" w:rsidRPr="008D6D6A">
        <w:rPr>
          <w:rFonts w:ascii="Verdana" w:hAnsi="Verdana" w:cs="Times New Roman"/>
          <w:sz w:val="20"/>
          <w:szCs w:val="20"/>
        </w:rPr>
        <w:t>dispuesto en las propias</w:t>
      </w:r>
      <w:r w:rsidR="00BE4EBC" w:rsidRPr="008D6D6A">
        <w:rPr>
          <w:rFonts w:ascii="Verdana" w:hAnsi="Verdana" w:cs="Times New Roman"/>
          <w:sz w:val="20"/>
          <w:szCs w:val="20"/>
        </w:rPr>
        <w:t xml:space="preserve"> reglas</w:t>
      </w:r>
      <w:r w:rsidR="0002271A" w:rsidRPr="008D6D6A">
        <w:rPr>
          <w:rFonts w:ascii="Verdana" w:hAnsi="Verdana" w:cs="Times New Roman"/>
          <w:sz w:val="20"/>
          <w:szCs w:val="20"/>
        </w:rPr>
        <w:t xml:space="preserve"> que rigen </w:t>
      </w:r>
      <w:r w:rsidR="0033541A" w:rsidRPr="008D6D6A">
        <w:rPr>
          <w:rFonts w:ascii="Verdana" w:hAnsi="Verdana" w:cs="Times New Roman"/>
          <w:sz w:val="20"/>
          <w:szCs w:val="20"/>
        </w:rPr>
        <w:t>el procedimiento arbitral</w:t>
      </w:r>
      <w:r w:rsidR="001C59EB" w:rsidRPr="008D6D6A">
        <w:rPr>
          <w:rFonts w:ascii="Verdana" w:hAnsi="Verdana" w:cs="Times New Roman"/>
          <w:sz w:val="20"/>
          <w:szCs w:val="20"/>
        </w:rPr>
        <w:t>,</w:t>
      </w:r>
      <w:r w:rsidR="002574E6" w:rsidRPr="008D6D6A">
        <w:rPr>
          <w:rFonts w:ascii="Verdana" w:hAnsi="Verdana" w:cs="Times New Roman"/>
          <w:sz w:val="20"/>
          <w:szCs w:val="20"/>
        </w:rPr>
        <w:t xml:space="preserve"> </w:t>
      </w:r>
      <w:r w:rsidR="001C59EB" w:rsidRPr="008D6D6A">
        <w:rPr>
          <w:rFonts w:ascii="Verdana" w:hAnsi="Verdana" w:cs="Times New Roman"/>
          <w:sz w:val="20"/>
          <w:szCs w:val="20"/>
        </w:rPr>
        <w:t>pero</w:t>
      </w:r>
      <w:r w:rsidR="00BE4EBC" w:rsidRPr="008D6D6A">
        <w:rPr>
          <w:rFonts w:ascii="Verdana" w:hAnsi="Verdana" w:cs="Times New Roman"/>
          <w:sz w:val="20"/>
          <w:szCs w:val="20"/>
        </w:rPr>
        <w:t xml:space="preserve"> </w:t>
      </w:r>
      <w:r w:rsidR="002574E6" w:rsidRPr="008D6D6A">
        <w:rPr>
          <w:rFonts w:ascii="Verdana" w:hAnsi="Verdana" w:cs="Times New Roman"/>
          <w:sz w:val="20"/>
          <w:szCs w:val="20"/>
        </w:rPr>
        <w:t>s</w:t>
      </w:r>
      <w:r w:rsidR="00BE4EBC" w:rsidRPr="008D6D6A">
        <w:rPr>
          <w:rFonts w:ascii="Verdana" w:hAnsi="Verdana" w:cs="Times New Roman"/>
          <w:sz w:val="20"/>
          <w:szCs w:val="20"/>
        </w:rPr>
        <w:t>iempre que no menoscabe los objetivos de transparencia</w:t>
      </w:r>
      <w:r w:rsidR="00ED425B" w:rsidRPr="008D6D6A">
        <w:rPr>
          <w:rFonts w:ascii="Verdana" w:hAnsi="Verdana" w:cs="Times New Roman"/>
          <w:sz w:val="20"/>
          <w:szCs w:val="20"/>
        </w:rPr>
        <w:t xml:space="preserve"> de</w:t>
      </w:r>
      <w:r w:rsidR="00F14B56" w:rsidRPr="008D6D6A">
        <w:rPr>
          <w:rFonts w:ascii="Verdana" w:hAnsi="Verdana" w:cs="Times New Roman"/>
          <w:sz w:val="20"/>
          <w:szCs w:val="20"/>
        </w:rPr>
        <w:t>l Reglamento, cumpliendo así</w:t>
      </w:r>
      <w:r w:rsidR="00ED425B" w:rsidRPr="008D6D6A">
        <w:rPr>
          <w:rFonts w:ascii="Verdana" w:hAnsi="Verdana" w:cs="Times New Roman"/>
          <w:sz w:val="20"/>
          <w:szCs w:val="20"/>
        </w:rPr>
        <w:t xml:space="preserve"> </w:t>
      </w:r>
      <w:r w:rsidR="00F14B56" w:rsidRPr="008D6D6A">
        <w:rPr>
          <w:rFonts w:ascii="Verdana" w:hAnsi="Verdana" w:cs="Times New Roman"/>
          <w:sz w:val="20"/>
          <w:szCs w:val="20"/>
        </w:rPr>
        <w:t xml:space="preserve">con la finalidad </w:t>
      </w:r>
      <w:r w:rsidR="00BE4EBC" w:rsidRPr="008D6D6A">
        <w:rPr>
          <w:rFonts w:ascii="Verdana" w:hAnsi="Verdana" w:cs="Times New Roman"/>
          <w:sz w:val="20"/>
          <w:szCs w:val="20"/>
        </w:rPr>
        <w:t>establecida en el art</w:t>
      </w:r>
      <w:r w:rsidR="001C59EB" w:rsidRPr="008D6D6A">
        <w:rPr>
          <w:rFonts w:ascii="Verdana" w:hAnsi="Verdana" w:cs="Times New Roman"/>
          <w:sz w:val="20"/>
          <w:szCs w:val="20"/>
        </w:rPr>
        <w:t>ículo 2</w:t>
      </w:r>
      <w:r w:rsidR="00BE4EBC" w:rsidRPr="008D6D6A">
        <w:rPr>
          <w:rFonts w:ascii="Verdana" w:hAnsi="Verdana" w:cs="Times New Roman"/>
          <w:sz w:val="20"/>
          <w:szCs w:val="20"/>
        </w:rPr>
        <w:t xml:space="preserve"> </w:t>
      </w:r>
      <w:r w:rsidR="001C59EB" w:rsidRPr="008D6D6A">
        <w:rPr>
          <w:rFonts w:ascii="Verdana" w:hAnsi="Verdana" w:cs="Times New Roman"/>
          <w:sz w:val="20"/>
          <w:szCs w:val="20"/>
        </w:rPr>
        <w:t>(</w:t>
      </w:r>
      <w:r w:rsidR="00BE4EBC" w:rsidRPr="008D6D6A">
        <w:rPr>
          <w:rFonts w:ascii="Verdana" w:hAnsi="Verdana" w:cs="Times New Roman"/>
          <w:sz w:val="20"/>
          <w:szCs w:val="20"/>
        </w:rPr>
        <w:t>llevar a cabo la divulgación de la informaci</w:t>
      </w:r>
      <w:r w:rsidR="00ED425B" w:rsidRPr="008D6D6A">
        <w:rPr>
          <w:rFonts w:ascii="Verdana" w:hAnsi="Verdana" w:cs="Times New Roman"/>
          <w:sz w:val="20"/>
          <w:szCs w:val="20"/>
        </w:rPr>
        <w:t xml:space="preserve">ón </w:t>
      </w:r>
      <w:r w:rsidR="00D119A8" w:rsidRPr="008D6D6A">
        <w:rPr>
          <w:rFonts w:ascii="Verdana" w:hAnsi="Verdana" w:cs="Times New Roman"/>
          <w:sz w:val="20"/>
          <w:szCs w:val="20"/>
        </w:rPr>
        <w:t>inicial del procedimiento</w:t>
      </w:r>
      <w:r w:rsidR="001C59EB" w:rsidRPr="008D6D6A">
        <w:rPr>
          <w:rFonts w:ascii="Verdana" w:hAnsi="Verdana" w:cs="Times New Roman"/>
          <w:sz w:val="20"/>
          <w:szCs w:val="20"/>
        </w:rPr>
        <w:t>)</w:t>
      </w:r>
      <w:r w:rsidR="00D119A8" w:rsidRPr="008D6D6A">
        <w:rPr>
          <w:rFonts w:ascii="Verdana" w:hAnsi="Verdana" w:cs="Times New Roman"/>
          <w:sz w:val="20"/>
          <w:szCs w:val="20"/>
        </w:rPr>
        <w:t>.</w:t>
      </w:r>
      <w:r w:rsidR="004C747A" w:rsidRPr="008D6D6A">
        <w:rPr>
          <w:rFonts w:ascii="Verdana" w:hAnsi="Verdana" w:cs="Times New Roman"/>
          <w:sz w:val="20"/>
          <w:szCs w:val="20"/>
        </w:rPr>
        <w:t xml:space="preserve"> Tal y como sucedió en el ya citado caso </w:t>
      </w:r>
      <w:r w:rsidR="004C747A" w:rsidRPr="008D6D6A">
        <w:rPr>
          <w:rFonts w:ascii="Verdana" w:hAnsi="Verdana" w:cs="Times New Roman"/>
          <w:i/>
          <w:sz w:val="20"/>
          <w:szCs w:val="20"/>
        </w:rPr>
        <w:t>BSG Resources Limited, BSG Resources (Guinea) Limited and BSG Resources (Guinea) SÀRL vs. Republic of Guinea</w:t>
      </w:r>
      <w:r w:rsidR="004C747A" w:rsidRPr="008D6D6A">
        <w:rPr>
          <w:rFonts w:ascii="Verdana" w:hAnsi="Verdana" w:cs="Times New Roman"/>
          <w:sz w:val="20"/>
          <w:szCs w:val="20"/>
        </w:rPr>
        <w:t>, en el que una vez las partes acordaron la aplicación del Reglamento sobre la Transparencia, ampliando el alcance en algunos aspectos y estableciendo reglas específicas para su implementación, el CIADI manifestó su aceptación para administrar el arbitraje y actuar como repositorio según lo establecido en las Reglas sobre</w:t>
      </w:r>
      <w:r w:rsidR="00163229" w:rsidRPr="008D6D6A">
        <w:rPr>
          <w:rFonts w:ascii="Verdana" w:hAnsi="Verdana" w:cs="Times New Roman"/>
          <w:sz w:val="20"/>
          <w:szCs w:val="20"/>
        </w:rPr>
        <w:t xml:space="preserve"> la</w:t>
      </w:r>
      <w:r w:rsidR="004C747A" w:rsidRPr="008D6D6A">
        <w:rPr>
          <w:rFonts w:ascii="Verdana" w:hAnsi="Verdana" w:cs="Times New Roman"/>
          <w:sz w:val="20"/>
          <w:szCs w:val="20"/>
        </w:rPr>
        <w:t xml:space="preserve"> </w:t>
      </w:r>
      <w:r w:rsidR="00163229" w:rsidRPr="008D6D6A">
        <w:rPr>
          <w:rFonts w:ascii="Verdana" w:hAnsi="Verdana" w:cs="Times New Roman"/>
          <w:sz w:val="20"/>
          <w:szCs w:val="20"/>
        </w:rPr>
        <w:t>t</w:t>
      </w:r>
      <w:r w:rsidR="004C747A" w:rsidRPr="008D6D6A">
        <w:rPr>
          <w:rFonts w:ascii="Verdana" w:hAnsi="Verdana" w:cs="Times New Roman"/>
          <w:sz w:val="20"/>
          <w:szCs w:val="20"/>
        </w:rPr>
        <w:t>ransparencia</w:t>
      </w:r>
      <w:r w:rsidR="0020685F" w:rsidRPr="008D6D6A">
        <w:rPr>
          <w:rStyle w:val="Refdenotaalpie"/>
          <w:rFonts w:ascii="Verdana" w:hAnsi="Verdana" w:cs="Times New Roman"/>
          <w:sz w:val="20"/>
          <w:szCs w:val="20"/>
        </w:rPr>
        <w:footnoteReference w:id="75"/>
      </w:r>
      <w:r w:rsidR="004C747A" w:rsidRPr="008D6D6A">
        <w:rPr>
          <w:rFonts w:ascii="Verdana" w:hAnsi="Verdana" w:cs="Times New Roman"/>
          <w:sz w:val="20"/>
          <w:szCs w:val="20"/>
        </w:rPr>
        <w:t>.</w:t>
      </w:r>
    </w:p>
    <w:p w:rsidR="00E45E1F" w:rsidRDefault="00E45E1F" w:rsidP="006D3AD5">
      <w:pPr>
        <w:pStyle w:val="Contenidodelatabla"/>
        <w:spacing w:line="240" w:lineRule="auto"/>
        <w:rPr>
          <w:rFonts w:ascii="Verdana" w:hAnsi="Verdana" w:cs="Times New Roman"/>
          <w:sz w:val="20"/>
          <w:szCs w:val="20"/>
        </w:rPr>
      </w:pPr>
    </w:p>
    <w:p w:rsidR="00AF61E1" w:rsidRPr="008D6D6A" w:rsidRDefault="00E0258A" w:rsidP="00700130">
      <w:pPr>
        <w:pStyle w:val="Contenidodelatabla"/>
        <w:spacing w:line="240" w:lineRule="auto"/>
        <w:ind w:firstLine="0"/>
        <w:rPr>
          <w:rFonts w:ascii="Verdana" w:hAnsi="Verdana" w:cs="Times New Roman"/>
          <w:b/>
          <w:sz w:val="20"/>
          <w:szCs w:val="20"/>
        </w:rPr>
      </w:pPr>
      <w:bookmarkStart w:id="44" w:name="_Toc536741923"/>
      <w:bookmarkStart w:id="45" w:name="_Toc1224445"/>
      <w:r w:rsidRPr="008D6D6A">
        <w:rPr>
          <w:rFonts w:ascii="Verdana" w:hAnsi="Verdana" w:cs="Times New Roman"/>
          <w:b/>
          <w:sz w:val="20"/>
          <w:szCs w:val="20"/>
        </w:rPr>
        <w:t>4.3</w:t>
      </w:r>
      <w:r w:rsidR="00D80F1A" w:rsidRPr="008D6D6A">
        <w:rPr>
          <w:rFonts w:ascii="Verdana" w:hAnsi="Verdana" w:cs="Times New Roman"/>
          <w:b/>
          <w:sz w:val="20"/>
          <w:szCs w:val="20"/>
        </w:rPr>
        <w:t xml:space="preserve"> </w:t>
      </w:r>
      <w:r w:rsidR="00AF61E1" w:rsidRPr="008D6D6A">
        <w:rPr>
          <w:rFonts w:ascii="Verdana" w:hAnsi="Verdana" w:cs="Times New Roman"/>
          <w:b/>
          <w:sz w:val="20"/>
          <w:szCs w:val="20"/>
        </w:rPr>
        <w:t>Publicación de documentos.</w:t>
      </w:r>
      <w:bookmarkEnd w:id="44"/>
      <w:bookmarkEnd w:id="45"/>
      <w:r w:rsidR="00AF61E1" w:rsidRPr="008D6D6A">
        <w:rPr>
          <w:rFonts w:ascii="Verdana" w:hAnsi="Verdana" w:cs="Times New Roman"/>
          <w:b/>
          <w:sz w:val="20"/>
          <w:szCs w:val="20"/>
        </w:rPr>
        <w:t xml:space="preserve"> </w:t>
      </w:r>
      <w:r w:rsidR="000B7A1B" w:rsidRPr="008D6D6A">
        <w:rPr>
          <w:rFonts w:ascii="Verdana" w:hAnsi="Verdana" w:cs="Times New Roman"/>
          <w:b/>
          <w:sz w:val="20"/>
          <w:szCs w:val="20"/>
        </w:rPr>
        <w:t xml:space="preserve"> </w:t>
      </w:r>
    </w:p>
    <w:p w:rsidR="008C16F6" w:rsidRPr="008D6D6A" w:rsidRDefault="00A04D32"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w:t>
      </w:r>
      <w:r w:rsidR="008C16F6" w:rsidRPr="008D6D6A">
        <w:rPr>
          <w:rFonts w:ascii="Verdana" w:hAnsi="Verdana" w:cs="Times New Roman"/>
          <w:sz w:val="20"/>
          <w:szCs w:val="20"/>
        </w:rPr>
        <w:t xml:space="preserve">l </w:t>
      </w:r>
      <w:r w:rsidR="00ED2331" w:rsidRPr="008D6D6A">
        <w:rPr>
          <w:rFonts w:ascii="Verdana" w:hAnsi="Verdana" w:cs="Times New Roman"/>
          <w:sz w:val="20"/>
          <w:szCs w:val="20"/>
        </w:rPr>
        <w:t>artículo</w:t>
      </w:r>
      <w:r w:rsidR="0059631E" w:rsidRPr="008D6D6A">
        <w:rPr>
          <w:rFonts w:ascii="Verdana" w:hAnsi="Verdana" w:cs="Times New Roman"/>
          <w:sz w:val="20"/>
          <w:szCs w:val="20"/>
        </w:rPr>
        <w:t xml:space="preserve"> 3</w:t>
      </w:r>
      <w:r w:rsidR="006E5090" w:rsidRPr="008D6D6A">
        <w:rPr>
          <w:rFonts w:ascii="Verdana" w:hAnsi="Verdana" w:cs="Times New Roman"/>
          <w:sz w:val="20"/>
          <w:szCs w:val="20"/>
        </w:rPr>
        <w:t xml:space="preserve"> del Reglamento, </w:t>
      </w:r>
      <w:r w:rsidRPr="008D6D6A">
        <w:rPr>
          <w:rFonts w:ascii="Verdana" w:hAnsi="Verdana" w:cs="Times New Roman"/>
          <w:sz w:val="20"/>
          <w:szCs w:val="20"/>
        </w:rPr>
        <w:t xml:space="preserve">desde sus inicios, </w:t>
      </w:r>
      <w:r w:rsidR="00704A7D" w:rsidRPr="008D6D6A">
        <w:rPr>
          <w:rFonts w:ascii="Verdana" w:hAnsi="Verdana" w:cs="Times New Roman"/>
          <w:sz w:val="20"/>
          <w:szCs w:val="20"/>
        </w:rPr>
        <w:t>establece tres clases o categorías de documentos emitidos por el tribunal para su divulgaci</w:t>
      </w:r>
      <w:r w:rsidR="00850C83" w:rsidRPr="008D6D6A">
        <w:rPr>
          <w:rFonts w:ascii="Verdana" w:hAnsi="Verdana" w:cs="Times New Roman"/>
          <w:sz w:val="20"/>
          <w:szCs w:val="20"/>
        </w:rPr>
        <w:t>ón, la</w:t>
      </w:r>
      <w:r w:rsidR="00704A7D" w:rsidRPr="008D6D6A">
        <w:rPr>
          <w:rFonts w:ascii="Verdana" w:hAnsi="Verdana" w:cs="Times New Roman"/>
          <w:sz w:val="20"/>
          <w:szCs w:val="20"/>
        </w:rPr>
        <w:t xml:space="preserve">s cuales podemos denominar como: </w:t>
      </w:r>
      <w:r w:rsidR="00E26C97" w:rsidRPr="008D6D6A">
        <w:rPr>
          <w:rFonts w:ascii="Verdana" w:hAnsi="Verdana" w:cs="Times New Roman"/>
          <w:sz w:val="20"/>
          <w:szCs w:val="20"/>
        </w:rPr>
        <w:t xml:space="preserve">i) </w:t>
      </w:r>
      <w:r w:rsidR="00B05F6E" w:rsidRPr="008D6D6A">
        <w:rPr>
          <w:rFonts w:ascii="Verdana" w:hAnsi="Verdana" w:cs="Times New Roman"/>
          <w:sz w:val="20"/>
          <w:szCs w:val="20"/>
        </w:rPr>
        <w:t>d</w:t>
      </w:r>
      <w:r w:rsidR="00704A7D" w:rsidRPr="008D6D6A">
        <w:rPr>
          <w:rFonts w:ascii="Verdana" w:hAnsi="Verdana" w:cs="Times New Roman"/>
          <w:sz w:val="20"/>
          <w:szCs w:val="20"/>
        </w:rPr>
        <w:t>ocumentos que deben ser obligatoriamente divulgados</w:t>
      </w:r>
      <w:r w:rsidR="00E26C97" w:rsidRPr="008D6D6A">
        <w:rPr>
          <w:rFonts w:ascii="Verdana" w:hAnsi="Verdana" w:cs="Times New Roman"/>
          <w:sz w:val="20"/>
          <w:szCs w:val="20"/>
        </w:rPr>
        <w:t>; “</w:t>
      </w:r>
      <w:r w:rsidR="00E26C97" w:rsidRPr="008D6D6A">
        <w:rPr>
          <w:rFonts w:ascii="Verdana" w:hAnsi="Verdana" w:cs="Times New Roman"/>
          <w:i/>
          <w:sz w:val="20"/>
          <w:szCs w:val="20"/>
        </w:rPr>
        <w:t>(…)</w:t>
      </w:r>
      <w:r w:rsidR="00E26C97" w:rsidRPr="008D6D6A">
        <w:rPr>
          <w:rFonts w:ascii="Verdana" w:hAnsi="Verdana" w:cs="Times New Roman"/>
          <w:sz w:val="20"/>
          <w:szCs w:val="20"/>
        </w:rPr>
        <w:t xml:space="preserve"> </w:t>
      </w:r>
      <w:r w:rsidR="00E26C97" w:rsidRPr="008D6D6A">
        <w:rPr>
          <w:rFonts w:ascii="Verdana" w:hAnsi="Verdana" w:cs="Times New Roman"/>
          <w:i/>
          <w:sz w:val="20"/>
          <w:szCs w:val="20"/>
        </w:rPr>
        <w:t>la notificación del arbitraje; la respuesta a la notificación del arbitraje; el escrito de demanda; el escrito de contestación y toda otra declaración o comunicación escritas de cualquiera de las partes litigantes; una lista de todas las pruebas correspondientes a dichos documentos y a los</w:t>
      </w:r>
      <w:r w:rsidR="00E26C97" w:rsidRPr="008D6D6A">
        <w:rPr>
          <w:rFonts w:ascii="Verdana" w:hAnsi="Verdana" w:cs="Times New Roman"/>
          <w:sz w:val="20"/>
          <w:szCs w:val="20"/>
        </w:rPr>
        <w:t xml:space="preserve"> </w:t>
      </w:r>
      <w:r w:rsidR="00E26C97" w:rsidRPr="008D6D6A">
        <w:rPr>
          <w:rFonts w:ascii="Verdana" w:hAnsi="Verdana" w:cs="Times New Roman"/>
          <w:i/>
          <w:sz w:val="20"/>
          <w:szCs w:val="20"/>
        </w:rPr>
        <w:t>informes de peritos y las declaraciones de los testigos, si esa lista ha sido preparada para las actuaciones, pero no las pruebas en sí; todo escrito presentado por partes en el tratado que no son litigantes y por terceros; las transcripciones de las audiencias, cuando se disponga de ellas; y las órdenes procesales, decisiones y laudos del tribunal arbitral</w:t>
      </w:r>
      <w:r w:rsidR="00E26C97" w:rsidRPr="008D6D6A">
        <w:rPr>
          <w:rFonts w:ascii="Verdana" w:hAnsi="Verdana" w:cs="Times New Roman"/>
          <w:sz w:val="20"/>
          <w:szCs w:val="20"/>
        </w:rPr>
        <w:t>”</w:t>
      </w:r>
      <w:r w:rsidR="00850C83" w:rsidRPr="008D6D6A">
        <w:rPr>
          <w:rStyle w:val="Refdenotaalpie"/>
          <w:rFonts w:ascii="Verdana" w:hAnsi="Verdana" w:cs="Times New Roman"/>
          <w:sz w:val="20"/>
          <w:szCs w:val="20"/>
        </w:rPr>
        <w:footnoteReference w:id="76"/>
      </w:r>
      <w:r w:rsidR="00DC671A" w:rsidRPr="008D6D6A">
        <w:rPr>
          <w:rFonts w:ascii="Verdana" w:hAnsi="Verdana" w:cs="Times New Roman"/>
          <w:sz w:val="20"/>
          <w:szCs w:val="20"/>
        </w:rPr>
        <w:t xml:space="preserve">. </w:t>
      </w:r>
      <w:r w:rsidR="00060A1A" w:rsidRPr="008D6D6A">
        <w:rPr>
          <w:rFonts w:ascii="Verdana" w:hAnsi="Verdana" w:cs="Times New Roman"/>
          <w:sz w:val="20"/>
          <w:szCs w:val="20"/>
        </w:rPr>
        <w:t>El ya mencionado</w:t>
      </w:r>
      <w:r w:rsidR="00DC671A" w:rsidRPr="008D6D6A">
        <w:rPr>
          <w:rFonts w:ascii="Verdana" w:hAnsi="Verdana" w:cs="Times New Roman"/>
          <w:sz w:val="20"/>
          <w:szCs w:val="20"/>
        </w:rPr>
        <w:t xml:space="preserve"> caso </w:t>
      </w:r>
      <w:r w:rsidR="00DC671A" w:rsidRPr="008D6D6A">
        <w:rPr>
          <w:rFonts w:ascii="Verdana" w:hAnsi="Verdana" w:cs="Times New Roman"/>
          <w:i/>
          <w:sz w:val="20"/>
          <w:szCs w:val="20"/>
        </w:rPr>
        <w:t>BSG Resources Limited, BSG Resources (Guinea) Limited and BSG Resources (Guinea) SÀRL vs. Republic of Guinea</w:t>
      </w:r>
      <w:r w:rsidR="00DC671A" w:rsidRPr="008D6D6A">
        <w:rPr>
          <w:rFonts w:ascii="Verdana" w:hAnsi="Verdana" w:cs="Times New Roman"/>
          <w:sz w:val="20"/>
          <w:szCs w:val="20"/>
        </w:rPr>
        <w:t xml:space="preserve">, es un ejemplo de </w:t>
      </w:r>
      <w:r w:rsidR="002F17B7" w:rsidRPr="008D6D6A">
        <w:rPr>
          <w:rFonts w:ascii="Verdana" w:hAnsi="Verdana" w:cs="Times New Roman"/>
          <w:sz w:val="20"/>
          <w:szCs w:val="20"/>
        </w:rPr>
        <w:t>cómo</w:t>
      </w:r>
      <w:r w:rsidR="00DC671A" w:rsidRPr="008D6D6A">
        <w:rPr>
          <w:rFonts w:ascii="Verdana" w:hAnsi="Verdana" w:cs="Times New Roman"/>
          <w:sz w:val="20"/>
          <w:szCs w:val="20"/>
        </w:rPr>
        <w:t xml:space="preserve"> el tribunal reconoce la obligación de publicar “</w:t>
      </w:r>
      <w:r w:rsidR="00DC671A" w:rsidRPr="008D6D6A">
        <w:rPr>
          <w:rFonts w:ascii="Verdana" w:hAnsi="Verdana" w:cs="Times New Roman"/>
          <w:i/>
          <w:sz w:val="20"/>
          <w:szCs w:val="20"/>
        </w:rPr>
        <w:t xml:space="preserve">la solicitud de arbitraje del Demandante, el memorial de la Demandante, la contestación a la Demanda, las pruebas documentales, las </w:t>
      </w:r>
      <w:r w:rsidR="002F17B7" w:rsidRPr="008D6D6A">
        <w:rPr>
          <w:rFonts w:ascii="Verdana" w:hAnsi="Verdana" w:cs="Times New Roman"/>
          <w:i/>
          <w:sz w:val="20"/>
          <w:szCs w:val="20"/>
        </w:rPr>
        <w:t>declaraciones</w:t>
      </w:r>
      <w:r w:rsidR="00DC671A" w:rsidRPr="008D6D6A">
        <w:rPr>
          <w:rFonts w:ascii="Verdana" w:hAnsi="Verdana" w:cs="Times New Roman"/>
          <w:i/>
          <w:sz w:val="20"/>
          <w:szCs w:val="20"/>
        </w:rPr>
        <w:t xml:space="preserve"> de testigos</w:t>
      </w:r>
      <w:r w:rsidR="00DC671A" w:rsidRPr="008D6D6A">
        <w:rPr>
          <w:rFonts w:ascii="Verdana" w:hAnsi="Verdana" w:cs="Times New Roman"/>
          <w:sz w:val="20"/>
          <w:szCs w:val="20"/>
        </w:rPr>
        <w:t>”</w:t>
      </w:r>
      <w:r w:rsidR="00DC671A" w:rsidRPr="008D6D6A">
        <w:rPr>
          <w:rStyle w:val="Refdenotaalpie"/>
          <w:rFonts w:ascii="Verdana" w:hAnsi="Verdana" w:cs="Times New Roman"/>
          <w:sz w:val="20"/>
          <w:szCs w:val="20"/>
        </w:rPr>
        <w:footnoteReference w:id="77"/>
      </w:r>
      <w:r w:rsidR="00B05F6E" w:rsidRPr="008D6D6A">
        <w:rPr>
          <w:rFonts w:ascii="Verdana" w:hAnsi="Verdana" w:cs="Times New Roman"/>
          <w:sz w:val="20"/>
          <w:szCs w:val="20"/>
        </w:rPr>
        <w:t>, entre otros;</w:t>
      </w:r>
      <w:r w:rsidR="00E26C97" w:rsidRPr="008D6D6A">
        <w:rPr>
          <w:rFonts w:ascii="Verdana" w:hAnsi="Verdana" w:cs="Times New Roman"/>
          <w:sz w:val="20"/>
          <w:szCs w:val="20"/>
        </w:rPr>
        <w:t xml:space="preserve"> ii) </w:t>
      </w:r>
      <w:r w:rsidR="00B05F6E" w:rsidRPr="008D6D6A">
        <w:rPr>
          <w:rFonts w:ascii="Verdana" w:hAnsi="Verdana" w:cs="Times New Roman"/>
          <w:sz w:val="20"/>
          <w:szCs w:val="20"/>
        </w:rPr>
        <w:t>d</w:t>
      </w:r>
      <w:r w:rsidR="00704A7D" w:rsidRPr="008D6D6A">
        <w:rPr>
          <w:rFonts w:ascii="Verdana" w:hAnsi="Verdana" w:cs="Times New Roman"/>
          <w:sz w:val="20"/>
          <w:szCs w:val="20"/>
        </w:rPr>
        <w:t>ocumentos que se deben divulgar una vez q</w:t>
      </w:r>
      <w:r w:rsidR="00D119A8" w:rsidRPr="008D6D6A">
        <w:rPr>
          <w:rFonts w:ascii="Verdana" w:hAnsi="Verdana" w:cs="Times New Roman"/>
          <w:sz w:val="20"/>
          <w:szCs w:val="20"/>
        </w:rPr>
        <w:t>ue cualquier persona solicite</w:t>
      </w:r>
      <w:r w:rsidR="00704A7D" w:rsidRPr="008D6D6A">
        <w:rPr>
          <w:rFonts w:ascii="Verdana" w:hAnsi="Verdana" w:cs="Times New Roman"/>
          <w:sz w:val="20"/>
          <w:szCs w:val="20"/>
        </w:rPr>
        <w:t xml:space="preserve"> dicha divulgación al tribunal</w:t>
      </w:r>
      <w:r w:rsidR="00B33B61" w:rsidRPr="008D6D6A">
        <w:rPr>
          <w:rFonts w:ascii="Verdana" w:hAnsi="Verdana" w:cs="Times New Roman"/>
          <w:sz w:val="20"/>
          <w:szCs w:val="20"/>
        </w:rPr>
        <w:t>:</w:t>
      </w:r>
      <w:r w:rsidR="00E26C97" w:rsidRPr="008D6D6A">
        <w:rPr>
          <w:rFonts w:ascii="Verdana" w:hAnsi="Verdana" w:cs="Times New Roman"/>
          <w:sz w:val="20"/>
          <w:szCs w:val="20"/>
        </w:rPr>
        <w:t xml:space="preserve"> “</w:t>
      </w:r>
      <w:r w:rsidR="00E26C97" w:rsidRPr="008D6D6A">
        <w:rPr>
          <w:rFonts w:ascii="Verdana" w:hAnsi="Verdana" w:cs="Times New Roman"/>
          <w:i/>
          <w:sz w:val="20"/>
          <w:szCs w:val="20"/>
        </w:rPr>
        <w:t>a reserva de lo dispuesto en el artículo 7, los informes de los peritos y las declaraciones de los testigos, excluidas las pruebas correspondientes, se pondrán a disposición del público si así lo pide cualquier persona al tribunal arbitral</w:t>
      </w:r>
      <w:r w:rsidR="00E26C97" w:rsidRPr="008D6D6A">
        <w:rPr>
          <w:rFonts w:ascii="Verdana" w:hAnsi="Verdana" w:cs="Times New Roman"/>
          <w:sz w:val="20"/>
          <w:szCs w:val="20"/>
        </w:rPr>
        <w:t>”</w:t>
      </w:r>
      <w:r w:rsidR="00850C83" w:rsidRPr="008D6D6A">
        <w:rPr>
          <w:rStyle w:val="Refdenotaalpie"/>
          <w:rFonts w:ascii="Verdana" w:hAnsi="Verdana" w:cs="Times New Roman"/>
          <w:sz w:val="20"/>
          <w:szCs w:val="20"/>
        </w:rPr>
        <w:footnoteReference w:id="78"/>
      </w:r>
      <w:r w:rsidR="000D040D" w:rsidRPr="008D6D6A">
        <w:rPr>
          <w:rFonts w:ascii="Verdana" w:hAnsi="Verdana" w:cs="Times New Roman"/>
          <w:sz w:val="20"/>
          <w:szCs w:val="20"/>
        </w:rPr>
        <w:t xml:space="preserve"> y</w:t>
      </w:r>
      <w:r w:rsidR="00704A7D" w:rsidRPr="008D6D6A">
        <w:rPr>
          <w:rFonts w:ascii="Verdana" w:hAnsi="Verdana" w:cs="Times New Roman"/>
          <w:sz w:val="20"/>
          <w:szCs w:val="20"/>
        </w:rPr>
        <w:t xml:space="preserve"> </w:t>
      </w:r>
      <w:r w:rsidR="00E26C97" w:rsidRPr="008D6D6A">
        <w:rPr>
          <w:rFonts w:ascii="Verdana" w:hAnsi="Verdana" w:cs="Times New Roman"/>
          <w:sz w:val="20"/>
          <w:szCs w:val="20"/>
        </w:rPr>
        <w:t xml:space="preserve">iii) </w:t>
      </w:r>
      <w:r w:rsidR="00B05F6E" w:rsidRPr="008D6D6A">
        <w:rPr>
          <w:rFonts w:ascii="Verdana" w:hAnsi="Verdana" w:cs="Times New Roman"/>
          <w:sz w:val="20"/>
          <w:szCs w:val="20"/>
        </w:rPr>
        <w:t>d</w:t>
      </w:r>
      <w:r w:rsidR="00704A7D" w:rsidRPr="008D6D6A">
        <w:rPr>
          <w:rFonts w:ascii="Verdana" w:hAnsi="Verdana" w:cs="Times New Roman"/>
          <w:sz w:val="20"/>
          <w:szCs w:val="20"/>
        </w:rPr>
        <w:t>ocumentos sobre los cuales el tribunal tiene plenas facultades discrecionales respecto a su publicación</w:t>
      </w:r>
      <w:r w:rsidR="00B33B61" w:rsidRPr="008D6D6A">
        <w:rPr>
          <w:rFonts w:ascii="Verdana" w:hAnsi="Verdana" w:cs="Times New Roman"/>
          <w:sz w:val="20"/>
          <w:szCs w:val="20"/>
        </w:rPr>
        <w:t>:</w:t>
      </w:r>
      <w:r w:rsidR="00E26C97" w:rsidRPr="008D6D6A">
        <w:rPr>
          <w:rFonts w:ascii="Verdana" w:hAnsi="Verdana" w:cs="Times New Roman"/>
          <w:sz w:val="20"/>
          <w:szCs w:val="20"/>
        </w:rPr>
        <w:t xml:space="preserve"> “</w:t>
      </w:r>
      <w:r w:rsidR="00E26C97" w:rsidRPr="008D6D6A">
        <w:rPr>
          <w:rFonts w:ascii="Verdana" w:hAnsi="Verdana" w:cs="Times New Roman"/>
          <w:i/>
          <w:sz w:val="20"/>
          <w:szCs w:val="20"/>
        </w:rPr>
        <w:t>(…) el tribunal arbitral podrá decidir, por iniciativa propia o a solicitud de cualquier otra persona, y previa consulta con las partes litigantes, si las pruebas y demás documentos que emita o reciba el tribunal arbitral no incluidos en el párrafo 1 o 2 supra se publicarán, y de qué forma. Por ejemplo, cabe la posibilidad de que se pongan esos documentos a disposición del público en un sitio determinado</w:t>
      </w:r>
      <w:r w:rsidR="00E26C97" w:rsidRPr="008D6D6A">
        <w:rPr>
          <w:rFonts w:ascii="Verdana" w:hAnsi="Verdana" w:cs="Times New Roman"/>
          <w:sz w:val="20"/>
          <w:szCs w:val="20"/>
        </w:rPr>
        <w:t>”</w:t>
      </w:r>
      <w:r w:rsidR="00674E71" w:rsidRPr="008D6D6A">
        <w:rPr>
          <w:rStyle w:val="Refdenotaalpie"/>
          <w:rFonts w:ascii="Verdana" w:hAnsi="Verdana" w:cs="Times New Roman"/>
          <w:sz w:val="20"/>
          <w:szCs w:val="20"/>
        </w:rPr>
        <w:footnoteReference w:id="79"/>
      </w:r>
      <w:r w:rsidR="00704A7D" w:rsidRPr="008D6D6A">
        <w:rPr>
          <w:rFonts w:ascii="Verdana" w:hAnsi="Verdana" w:cs="Times New Roman"/>
          <w:sz w:val="20"/>
          <w:szCs w:val="20"/>
        </w:rPr>
        <w:t xml:space="preserve">.   </w:t>
      </w:r>
    </w:p>
    <w:p w:rsidR="005B568D" w:rsidRPr="008D6D6A" w:rsidRDefault="003A1F59"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Sin embargo, resulta curioso </w:t>
      </w:r>
      <w:r w:rsidR="00AC7213" w:rsidRPr="008D6D6A">
        <w:rPr>
          <w:rFonts w:ascii="Verdana" w:hAnsi="Verdana" w:cs="Times New Roman"/>
          <w:sz w:val="20"/>
          <w:szCs w:val="20"/>
        </w:rPr>
        <w:t>que,</w:t>
      </w:r>
      <w:r w:rsidRPr="008D6D6A">
        <w:rPr>
          <w:rFonts w:ascii="Verdana" w:hAnsi="Verdana" w:cs="Times New Roman"/>
          <w:sz w:val="20"/>
          <w:szCs w:val="20"/>
        </w:rPr>
        <w:t xml:space="preserve"> dentro del amplio margen de publicidad</w:t>
      </w:r>
      <w:r w:rsidR="00AC7213" w:rsidRPr="008D6D6A">
        <w:rPr>
          <w:rFonts w:ascii="Verdana" w:hAnsi="Verdana" w:cs="Times New Roman"/>
          <w:sz w:val="20"/>
          <w:szCs w:val="20"/>
        </w:rPr>
        <w:t xml:space="preserve"> otorgado a la documentación</w:t>
      </w:r>
      <w:r w:rsidRPr="008D6D6A">
        <w:rPr>
          <w:rFonts w:ascii="Verdana" w:hAnsi="Verdana" w:cs="Times New Roman"/>
          <w:sz w:val="20"/>
          <w:szCs w:val="20"/>
        </w:rPr>
        <w:t xml:space="preserve"> durante el procedimiento, se establezca</w:t>
      </w:r>
      <w:r w:rsidR="00AC7213" w:rsidRPr="008D6D6A">
        <w:rPr>
          <w:rFonts w:ascii="Verdana" w:hAnsi="Verdana" w:cs="Times New Roman"/>
          <w:sz w:val="20"/>
          <w:szCs w:val="20"/>
        </w:rPr>
        <w:t xml:space="preserve"> en el</w:t>
      </w:r>
      <w:r w:rsidRPr="008D6D6A">
        <w:rPr>
          <w:rFonts w:ascii="Verdana" w:hAnsi="Verdana" w:cs="Times New Roman"/>
          <w:sz w:val="20"/>
          <w:szCs w:val="20"/>
        </w:rPr>
        <w:t xml:space="preserve"> artículo</w:t>
      </w:r>
      <w:r w:rsidR="00AC7213" w:rsidRPr="008D6D6A">
        <w:rPr>
          <w:rFonts w:ascii="Verdana" w:hAnsi="Verdana" w:cs="Times New Roman"/>
          <w:sz w:val="20"/>
          <w:szCs w:val="20"/>
        </w:rPr>
        <w:t xml:space="preserve"> 3.3 del Reglamento</w:t>
      </w:r>
      <w:r w:rsidRPr="008D6D6A">
        <w:rPr>
          <w:rFonts w:ascii="Verdana" w:hAnsi="Verdana" w:cs="Times New Roman"/>
          <w:sz w:val="20"/>
          <w:szCs w:val="20"/>
        </w:rPr>
        <w:t xml:space="preserve">, </w:t>
      </w:r>
      <w:r w:rsidR="00E15D83" w:rsidRPr="008D6D6A">
        <w:rPr>
          <w:rFonts w:ascii="Verdana" w:hAnsi="Verdana" w:cs="Times New Roman"/>
          <w:sz w:val="20"/>
          <w:szCs w:val="20"/>
        </w:rPr>
        <w:t>cierta restricción</w:t>
      </w:r>
      <w:r w:rsidRPr="008D6D6A">
        <w:rPr>
          <w:rFonts w:ascii="Verdana" w:hAnsi="Verdana" w:cs="Times New Roman"/>
          <w:sz w:val="20"/>
          <w:szCs w:val="20"/>
        </w:rPr>
        <w:t xml:space="preserve"> </w:t>
      </w:r>
      <w:r w:rsidR="0060295A" w:rsidRPr="008D6D6A">
        <w:rPr>
          <w:rFonts w:ascii="Verdana" w:hAnsi="Verdana" w:cs="Times New Roman"/>
          <w:sz w:val="20"/>
          <w:szCs w:val="20"/>
        </w:rPr>
        <w:t>a la misma,</w:t>
      </w:r>
      <w:r w:rsidR="00AC7213" w:rsidRPr="008D6D6A">
        <w:rPr>
          <w:rFonts w:ascii="Verdana" w:hAnsi="Verdana" w:cs="Times New Roman"/>
          <w:sz w:val="20"/>
          <w:szCs w:val="20"/>
        </w:rPr>
        <w:t xml:space="preserve"> </w:t>
      </w:r>
      <w:r w:rsidR="0060295A" w:rsidRPr="008D6D6A">
        <w:rPr>
          <w:rFonts w:ascii="Verdana" w:hAnsi="Verdana" w:cs="Times New Roman"/>
          <w:sz w:val="20"/>
          <w:szCs w:val="20"/>
        </w:rPr>
        <w:t>l</w:t>
      </w:r>
      <w:r w:rsidR="00AC7213" w:rsidRPr="008D6D6A">
        <w:rPr>
          <w:rFonts w:ascii="Verdana" w:hAnsi="Verdana" w:cs="Times New Roman"/>
          <w:sz w:val="20"/>
          <w:szCs w:val="20"/>
        </w:rPr>
        <w:t xml:space="preserve">o que pudiéramos considerar, </w:t>
      </w:r>
      <w:r w:rsidR="00A04D32" w:rsidRPr="008D6D6A">
        <w:rPr>
          <w:rFonts w:ascii="Verdana" w:hAnsi="Verdana" w:cs="Times New Roman"/>
          <w:sz w:val="20"/>
          <w:szCs w:val="20"/>
        </w:rPr>
        <w:t>como el precepto</w:t>
      </w:r>
      <w:r w:rsidR="00D119A8" w:rsidRPr="008D6D6A">
        <w:rPr>
          <w:rFonts w:ascii="Verdana" w:hAnsi="Verdana" w:cs="Times New Roman"/>
          <w:sz w:val="20"/>
          <w:szCs w:val="20"/>
        </w:rPr>
        <w:t xml:space="preserve"> o artículo</w:t>
      </w:r>
      <w:r w:rsidR="00A04D32" w:rsidRPr="008D6D6A">
        <w:rPr>
          <w:rFonts w:ascii="Verdana" w:hAnsi="Verdana" w:cs="Times New Roman"/>
          <w:sz w:val="20"/>
          <w:szCs w:val="20"/>
        </w:rPr>
        <w:t xml:space="preserve"> </w:t>
      </w:r>
      <w:r w:rsidR="00D119A8" w:rsidRPr="008D6D6A">
        <w:rPr>
          <w:rFonts w:ascii="Verdana" w:hAnsi="Verdana" w:cs="Times New Roman"/>
          <w:sz w:val="20"/>
          <w:szCs w:val="20"/>
        </w:rPr>
        <w:t>filtro</w:t>
      </w:r>
      <w:r w:rsidR="00AC7213" w:rsidRPr="008D6D6A">
        <w:rPr>
          <w:rFonts w:ascii="Verdana" w:hAnsi="Verdana" w:cs="Times New Roman"/>
          <w:sz w:val="20"/>
          <w:szCs w:val="20"/>
        </w:rPr>
        <w:t xml:space="preserve"> </w:t>
      </w:r>
      <w:r w:rsidR="005B568D" w:rsidRPr="008D6D6A">
        <w:rPr>
          <w:rFonts w:ascii="Verdana" w:hAnsi="Verdana" w:cs="Times New Roman"/>
          <w:sz w:val="20"/>
          <w:szCs w:val="20"/>
        </w:rPr>
        <w:t xml:space="preserve">respecto a la publicidad en </w:t>
      </w:r>
      <w:r w:rsidR="00AC7213" w:rsidRPr="008D6D6A">
        <w:rPr>
          <w:rFonts w:ascii="Verdana" w:hAnsi="Verdana" w:cs="Times New Roman"/>
          <w:sz w:val="20"/>
          <w:szCs w:val="20"/>
        </w:rPr>
        <w:t>el Reglamento</w:t>
      </w:r>
      <w:r w:rsidR="0059631E" w:rsidRPr="008D6D6A">
        <w:rPr>
          <w:rFonts w:ascii="Verdana" w:hAnsi="Verdana" w:cs="Times New Roman"/>
          <w:sz w:val="20"/>
          <w:szCs w:val="20"/>
        </w:rPr>
        <w:t>,</w:t>
      </w:r>
      <w:r w:rsidR="00AC7213" w:rsidRPr="008D6D6A">
        <w:rPr>
          <w:rFonts w:ascii="Verdana" w:hAnsi="Verdana" w:cs="Times New Roman"/>
          <w:sz w:val="20"/>
          <w:szCs w:val="20"/>
        </w:rPr>
        <w:t xml:space="preserve"> </w:t>
      </w:r>
      <w:r w:rsidR="0059631E" w:rsidRPr="008D6D6A">
        <w:rPr>
          <w:rFonts w:ascii="Verdana" w:hAnsi="Verdana" w:cs="Times New Roman"/>
          <w:sz w:val="20"/>
          <w:szCs w:val="20"/>
        </w:rPr>
        <w:t>y</w:t>
      </w:r>
      <w:r w:rsidR="00753992" w:rsidRPr="008D6D6A">
        <w:rPr>
          <w:rFonts w:ascii="Verdana" w:hAnsi="Verdana" w:cs="Times New Roman"/>
          <w:sz w:val="20"/>
          <w:szCs w:val="20"/>
        </w:rPr>
        <w:t xml:space="preserve">a </w:t>
      </w:r>
      <w:r w:rsidR="00AC7213" w:rsidRPr="008D6D6A">
        <w:rPr>
          <w:rFonts w:ascii="Verdana" w:hAnsi="Verdana" w:cs="Times New Roman"/>
          <w:sz w:val="20"/>
          <w:szCs w:val="20"/>
        </w:rPr>
        <w:t>que</w:t>
      </w:r>
      <w:r w:rsidR="00753992" w:rsidRPr="008D6D6A">
        <w:rPr>
          <w:rFonts w:ascii="Verdana" w:hAnsi="Verdana" w:cs="Times New Roman"/>
          <w:sz w:val="20"/>
          <w:szCs w:val="20"/>
        </w:rPr>
        <w:t xml:space="preserve"> establece</w:t>
      </w:r>
      <w:r w:rsidR="00AC7213" w:rsidRPr="008D6D6A">
        <w:rPr>
          <w:rFonts w:ascii="Verdana" w:hAnsi="Verdana" w:cs="Times New Roman"/>
          <w:sz w:val="20"/>
          <w:szCs w:val="20"/>
        </w:rPr>
        <w:t xml:space="preserve"> </w:t>
      </w:r>
      <w:r w:rsidR="005B568D" w:rsidRPr="008D6D6A">
        <w:rPr>
          <w:rFonts w:ascii="Verdana" w:hAnsi="Verdana" w:cs="Times New Roman"/>
          <w:sz w:val="20"/>
          <w:szCs w:val="20"/>
        </w:rPr>
        <w:t>una</w:t>
      </w:r>
      <w:r w:rsidR="00AC7213" w:rsidRPr="008D6D6A">
        <w:rPr>
          <w:rFonts w:ascii="Verdana" w:hAnsi="Verdana" w:cs="Times New Roman"/>
          <w:sz w:val="20"/>
          <w:szCs w:val="20"/>
        </w:rPr>
        <w:t xml:space="preserve"> </w:t>
      </w:r>
      <w:r w:rsidR="005B568D" w:rsidRPr="008D6D6A">
        <w:rPr>
          <w:rFonts w:ascii="Verdana" w:hAnsi="Verdana" w:cs="Times New Roman"/>
          <w:sz w:val="20"/>
          <w:szCs w:val="20"/>
        </w:rPr>
        <w:t>limitación a</w:t>
      </w:r>
      <w:r w:rsidR="00AC7213" w:rsidRPr="008D6D6A">
        <w:rPr>
          <w:rFonts w:ascii="Verdana" w:hAnsi="Verdana" w:cs="Times New Roman"/>
          <w:sz w:val="20"/>
          <w:szCs w:val="20"/>
        </w:rPr>
        <w:t xml:space="preserve"> la divulgació</w:t>
      </w:r>
      <w:r w:rsidR="00ED2331" w:rsidRPr="008D6D6A">
        <w:rPr>
          <w:rFonts w:ascii="Verdana" w:hAnsi="Verdana" w:cs="Times New Roman"/>
          <w:sz w:val="20"/>
          <w:szCs w:val="20"/>
        </w:rPr>
        <w:t>n y el conocimiento público</w:t>
      </w:r>
      <w:r w:rsidR="005B568D" w:rsidRPr="008D6D6A">
        <w:rPr>
          <w:rFonts w:ascii="Verdana" w:hAnsi="Verdana" w:cs="Times New Roman"/>
          <w:sz w:val="20"/>
          <w:szCs w:val="20"/>
        </w:rPr>
        <w:t xml:space="preserve"> de los documentos producidos durante el procedimiento y que difieren de los especificados en los artículos 3.1 y 3.2 del Reglamento</w:t>
      </w:r>
      <w:r w:rsidR="0060295A" w:rsidRPr="008D6D6A">
        <w:rPr>
          <w:rFonts w:ascii="Verdana" w:hAnsi="Verdana" w:cs="Times New Roman"/>
          <w:sz w:val="20"/>
          <w:szCs w:val="20"/>
        </w:rPr>
        <w:t>, como son</w:t>
      </w:r>
      <w:r w:rsidR="00E15D83" w:rsidRPr="008D6D6A">
        <w:rPr>
          <w:rFonts w:ascii="Verdana" w:hAnsi="Verdana" w:cs="Times New Roman"/>
          <w:sz w:val="20"/>
          <w:szCs w:val="20"/>
        </w:rPr>
        <w:t xml:space="preserve"> las </w:t>
      </w:r>
      <w:r w:rsidR="00A04D32" w:rsidRPr="008D6D6A">
        <w:rPr>
          <w:rFonts w:ascii="Verdana" w:hAnsi="Verdana" w:cs="Times New Roman"/>
          <w:sz w:val="20"/>
          <w:szCs w:val="20"/>
        </w:rPr>
        <w:t>pruebas o documentos que emita o</w:t>
      </w:r>
      <w:r w:rsidR="00E15D83" w:rsidRPr="008D6D6A">
        <w:rPr>
          <w:rFonts w:ascii="Verdana" w:hAnsi="Verdana" w:cs="Times New Roman"/>
          <w:sz w:val="20"/>
          <w:szCs w:val="20"/>
        </w:rPr>
        <w:t xml:space="preserve"> reciba el tribunal arbitral</w:t>
      </w:r>
      <w:r w:rsidR="0059631E" w:rsidRPr="008D6D6A">
        <w:rPr>
          <w:rFonts w:ascii="Verdana" w:hAnsi="Verdana" w:cs="Times New Roman"/>
          <w:sz w:val="20"/>
          <w:szCs w:val="20"/>
        </w:rPr>
        <w:t>,</w:t>
      </w:r>
      <w:r w:rsidR="00E15D83" w:rsidRPr="008D6D6A">
        <w:rPr>
          <w:rFonts w:ascii="Verdana" w:hAnsi="Verdana" w:cs="Times New Roman"/>
          <w:sz w:val="20"/>
          <w:szCs w:val="20"/>
        </w:rPr>
        <w:t xml:space="preserve"> </w:t>
      </w:r>
      <w:r w:rsidR="0059631E" w:rsidRPr="008D6D6A">
        <w:rPr>
          <w:rFonts w:ascii="Verdana" w:hAnsi="Verdana" w:cs="Times New Roman"/>
          <w:sz w:val="20"/>
          <w:szCs w:val="20"/>
        </w:rPr>
        <w:t>l</w:t>
      </w:r>
      <w:r w:rsidR="00E15D83" w:rsidRPr="008D6D6A">
        <w:rPr>
          <w:rFonts w:ascii="Verdana" w:hAnsi="Verdana" w:cs="Times New Roman"/>
          <w:sz w:val="20"/>
          <w:szCs w:val="20"/>
        </w:rPr>
        <w:t>os cuales, podr</w:t>
      </w:r>
      <w:r w:rsidR="007F7F07" w:rsidRPr="008D6D6A">
        <w:rPr>
          <w:rFonts w:ascii="Verdana" w:hAnsi="Verdana" w:cs="Times New Roman"/>
          <w:sz w:val="20"/>
          <w:szCs w:val="20"/>
        </w:rPr>
        <w:t>án ser divulgados, bien a</w:t>
      </w:r>
      <w:r w:rsidR="00E15D83" w:rsidRPr="008D6D6A">
        <w:rPr>
          <w:rFonts w:ascii="Verdana" w:hAnsi="Verdana" w:cs="Times New Roman"/>
          <w:sz w:val="20"/>
          <w:szCs w:val="20"/>
        </w:rPr>
        <w:t xml:space="preserve"> iniciativa del tribunal o a solicitud de tercero</w:t>
      </w:r>
      <w:r w:rsidR="00163229" w:rsidRPr="008D6D6A">
        <w:rPr>
          <w:rFonts w:ascii="Verdana" w:hAnsi="Verdana" w:cs="Times New Roman"/>
          <w:sz w:val="20"/>
          <w:szCs w:val="20"/>
        </w:rPr>
        <w:t>s previa consulta de las partes; es decir</w:t>
      </w:r>
      <w:r w:rsidR="00C23472" w:rsidRPr="008D6D6A">
        <w:rPr>
          <w:rFonts w:ascii="Verdana" w:hAnsi="Verdana" w:cs="Times New Roman"/>
          <w:sz w:val="20"/>
          <w:szCs w:val="20"/>
        </w:rPr>
        <w:t>, se faculta al tribunal arbitral para</w:t>
      </w:r>
      <w:r w:rsidR="007447F7" w:rsidRPr="008D6D6A">
        <w:rPr>
          <w:rFonts w:ascii="Verdana" w:hAnsi="Verdana" w:cs="Times New Roman"/>
          <w:sz w:val="20"/>
          <w:szCs w:val="20"/>
        </w:rPr>
        <w:t xml:space="preserve"> decidir</w:t>
      </w:r>
      <w:r w:rsidR="00753992" w:rsidRPr="008D6D6A">
        <w:rPr>
          <w:rFonts w:ascii="Verdana" w:hAnsi="Verdana" w:cs="Times New Roman"/>
          <w:sz w:val="20"/>
          <w:szCs w:val="20"/>
        </w:rPr>
        <w:t xml:space="preserve">, </w:t>
      </w:r>
      <w:r w:rsidR="0059631E" w:rsidRPr="008D6D6A">
        <w:rPr>
          <w:rFonts w:ascii="Verdana" w:hAnsi="Verdana" w:cs="Times New Roman"/>
          <w:sz w:val="20"/>
          <w:szCs w:val="20"/>
        </w:rPr>
        <w:t>a</w:t>
      </w:r>
      <w:r w:rsidR="00753992" w:rsidRPr="008D6D6A">
        <w:rPr>
          <w:rFonts w:ascii="Verdana" w:hAnsi="Verdana" w:cs="Times New Roman"/>
          <w:sz w:val="20"/>
          <w:szCs w:val="20"/>
        </w:rPr>
        <w:t xml:space="preserve"> iniciativa propia o a solicitud de cualquier otra persona, </w:t>
      </w:r>
      <w:r w:rsidR="007447F7" w:rsidRPr="008D6D6A">
        <w:rPr>
          <w:rFonts w:ascii="Verdana" w:hAnsi="Verdana" w:cs="Times New Roman"/>
          <w:sz w:val="20"/>
          <w:szCs w:val="20"/>
        </w:rPr>
        <w:t>respecto a la publicaci</w:t>
      </w:r>
      <w:r w:rsidR="00753992" w:rsidRPr="008D6D6A">
        <w:rPr>
          <w:rFonts w:ascii="Verdana" w:hAnsi="Verdana" w:cs="Times New Roman"/>
          <w:sz w:val="20"/>
          <w:szCs w:val="20"/>
        </w:rPr>
        <w:t>ón de dichos documento</w:t>
      </w:r>
      <w:r w:rsidR="0060295A" w:rsidRPr="008D6D6A">
        <w:rPr>
          <w:rFonts w:ascii="Verdana" w:hAnsi="Verdana" w:cs="Times New Roman"/>
          <w:sz w:val="20"/>
          <w:szCs w:val="20"/>
        </w:rPr>
        <w:t>s.</w:t>
      </w:r>
      <w:r w:rsidR="00753992" w:rsidRPr="008D6D6A">
        <w:rPr>
          <w:rFonts w:ascii="Verdana" w:hAnsi="Verdana" w:cs="Times New Roman"/>
          <w:sz w:val="20"/>
          <w:szCs w:val="20"/>
        </w:rPr>
        <w:t xml:space="preserve"> </w:t>
      </w:r>
      <w:r w:rsidR="0060295A" w:rsidRPr="008D6D6A">
        <w:rPr>
          <w:rFonts w:ascii="Verdana" w:hAnsi="Verdana" w:cs="Times New Roman"/>
          <w:sz w:val="20"/>
          <w:szCs w:val="20"/>
        </w:rPr>
        <w:t>Pero</w:t>
      </w:r>
      <w:r w:rsidR="00753992" w:rsidRPr="008D6D6A">
        <w:rPr>
          <w:rFonts w:ascii="Verdana" w:hAnsi="Verdana" w:cs="Times New Roman"/>
          <w:sz w:val="20"/>
          <w:szCs w:val="20"/>
        </w:rPr>
        <w:t xml:space="preserve"> dicha facultad no es amplia, sino </w:t>
      </w:r>
      <w:r w:rsidR="007447F7" w:rsidRPr="008D6D6A">
        <w:rPr>
          <w:rFonts w:ascii="Verdana" w:hAnsi="Verdana" w:cs="Times New Roman"/>
          <w:sz w:val="20"/>
          <w:szCs w:val="20"/>
        </w:rPr>
        <w:t xml:space="preserve">limitada </w:t>
      </w:r>
      <w:r w:rsidR="00C23472" w:rsidRPr="008D6D6A">
        <w:rPr>
          <w:rFonts w:ascii="Verdana" w:hAnsi="Verdana" w:cs="Times New Roman"/>
          <w:sz w:val="20"/>
          <w:szCs w:val="20"/>
        </w:rPr>
        <w:t>desde el propio momento en que</w:t>
      </w:r>
      <w:r w:rsidR="0059631E" w:rsidRPr="008D6D6A">
        <w:rPr>
          <w:rFonts w:ascii="Verdana" w:hAnsi="Verdana" w:cs="Times New Roman"/>
          <w:sz w:val="20"/>
          <w:szCs w:val="20"/>
        </w:rPr>
        <w:t xml:space="preserve"> debe consultarlo con las P</w:t>
      </w:r>
      <w:r w:rsidR="007447F7" w:rsidRPr="008D6D6A">
        <w:rPr>
          <w:rFonts w:ascii="Verdana" w:hAnsi="Verdana" w:cs="Times New Roman"/>
          <w:sz w:val="20"/>
          <w:szCs w:val="20"/>
        </w:rPr>
        <w:t xml:space="preserve">artes contendientes. </w:t>
      </w:r>
      <w:r w:rsidR="00BD428E" w:rsidRPr="008D6D6A">
        <w:rPr>
          <w:rFonts w:ascii="Verdana" w:hAnsi="Verdana" w:cs="Times New Roman"/>
          <w:sz w:val="20"/>
          <w:szCs w:val="20"/>
        </w:rPr>
        <w:t>Sin embargo, hemos</w:t>
      </w:r>
      <w:r w:rsidR="00753992" w:rsidRPr="008D6D6A">
        <w:rPr>
          <w:rFonts w:ascii="Verdana" w:hAnsi="Verdana" w:cs="Times New Roman"/>
          <w:sz w:val="20"/>
          <w:szCs w:val="20"/>
        </w:rPr>
        <w:t xml:space="preserve"> de considerar que</w:t>
      </w:r>
      <w:r w:rsidR="00E753B8" w:rsidRPr="008D6D6A">
        <w:rPr>
          <w:rFonts w:ascii="Verdana" w:hAnsi="Verdana" w:cs="Times New Roman"/>
          <w:sz w:val="20"/>
          <w:szCs w:val="20"/>
        </w:rPr>
        <w:t xml:space="preserve"> dejar al ejercicio de la facultad de apreciación del tribunal arbitral la publicación d</w:t>
      </w:r>
      <w:r w:rsidR="0060295A" w:rsidRPr="008D6D6A">
        <w:rPr>
          <w:rFonts w:ascii="Verdana" w:hAnsi="Verdana" w:cs="Times New Roman"/>
          <w:sz w:val="20"/>
          <w:szCs w:val="20"/>
        </w:rPr>
        <w:t>e las pruebas</w:t>
      </w:r>
      <w:r w:rsidR="00E753B8" w:rsidRPr="008D6D6A">
        <w:rPr>
          <w:rFonts w:ascii="Verdana" w:hAnsi="Verdana" w:cs="Times New Roman"/>
          <w:sz w:val="20"/>
          <w:szCs w:val="20"/>
        </w:rPr>
        <w:t xml:space="preserve"> </w:t>
      </w:r>
      <w:r w:rsidR="00BD428E" w:rsidRPr="008D6D6A">
        <w:rPr>
          <w:rFonts w:ascii="Verdana" w:hAnsi="Verdana" w:cs="Times New Roman"/>
          <w:sz w:val="20"/>
          <w:szCs w:val="20"/>
        </w:rPr>
        <w:t xml:space="preserve">puede </w:t>
      </w:r>
      <w:r w:rsidR="00E753B8" w:rsidRPr="008D6D6A">
        <w:rPr>
          <w:rFonts w:ascii="Verdana" w:hAnsi="Verdana" w:cs="Times New Roman"/>
          <w:sz w:val="20"/>
          <w:szCs w:val="20"/>
        </w:rPr>
        <w:t>contrarresta</w:t>
      </w:r>
      <w:r w:rsidR="00BD428E" w:rsidRPr="008D6D6A">
        <w:rPr>
          <w:rFonts w:ascii="Verdana" w:hAnsi="Verdana" w:cs="Times New Roman"/>
          <w:sz w:val="20"/>
          <w:szCs w:val="20"/>
        </w:rPr>
        <w:t>r, en</w:t>
      </w:r>
      <w:r w:rsidR="00E753B8" w:rsidRPr="008D6D6A">
        <w:rPr>
          <w:rFonts w:ascii="Verdana" w:hAnsi="Verdana" w:cs="Times New Roman"/>
          <w:sz w:val="20"/>
          <w:szCs w:val="20"/>
        </w:rPr>
        <w:t xml:space="preserve"> </w:t>
      </w:r>
      <w:r w:rsidR="00BD428E" w:rsidRPr="008D6D6A">
        <w:rPr>
          <w:rFonts w:ascii="Verdana" w:hAnsi="Verdana" w:cs="Times New Roman"/>
          <w:sz w:val="20"/>
          <w:szCs w:val="20"/>
        </w:rPr>
        <w:t xml:space="preserve">el ámbito más específico, </w:t>
      </w:r>
      <w:r w:rsidR="00E753B8" w:rsidRPr="008D6D6A">
        <w:rPr>
          <w:rFonts w:ascii="Verdana" w:hAnsi="Verdana" w:cs="Times New Roman"/>
          <w:sz w:val="20"/>
          <w:szCs w:val="20"/>
        </w:rPr>
        <w:t xml:space="preserve">el interés público </w:t>
      </w:r>
      <w:r w:rsidR="00753992" w:rsidRPr="008D6D6A">
        <w:rPr>
          <w:rFonts w:ascii="Verdana" w:hAnsi="Verdana" w:cs="Times New Roman"/>
          <w:sz w:val="20"/>
          <w:szCs w:val="20"/>
        </w:rPr>
        <w:t xml:space="preserve">que puede estar </w:t>
      </w:r>
      <w:r w:rsidR="00FE5AB4" w:rsidRPr="008D6D6A">
        <w:rPr>
          <w:rFonts w:ascii="Verdana" w:hAnsi="Verdana" w:cs="Times New Roman"/>
          <w:sz w:val="20"/>
          <w:szCs w:val="20"/>
        </w:rPr>
        <w:t>contenido</w:t>
      </w:r>
      <w:r w:rsidR="00E753B8" w:rsidRPr="008D6D6A">
        <w:rPr>
          <w:rFonts w:ascii="Verdana" w:hAnsi="Verdana" w:cs="Times New Roman"/>
          <w:sz w:val="20"/>
          <w:szCs w:val="20"/>
        </w:rPr>
        <w:t xml:space="preserve"> en</w:t>
      </w:r>
      <w:r w:rsidR="00AB30FD" w:rsidRPr="008D6D6A">
        <w:rPr>
          <w:rFonts w:ascii="Verdana" w:hAnsi="Verdana" w:cs="Times New Roman"/>
          <w:sz w:val="20"/>
          <w:szCs w:val="20"/>
        </w:rPr>
        <w:t xml:space="preserve"> dicha información</w:t>
      </w:r>
      <w:r w:rsidR="00753992" w:rsidRPr="008D6D6A">
        <w:rPr>
          <w:rFonts w:ascii="Verdana" w:hAnsi="Verdana" w:cs="Times New Roman"/>
          <w:sz w:val="20"/>
          <w:szCs w:val="20"/>
        </w:rPr>
        <w:t xml:space="preserve">, </w:t>
      </w:r>
      <w:r w:rsidR="00AB30FD" w:rsidRPr="008D6D6A">
        <w:rPr>
          <w:rFonts w:ascii="Verdana" w:hAnsi="Verdana" w:cs="Times New Roman"/>
          <w:sz w:val="20"/>
          <w:szCs w:val="20"/>
        </w:rPr>
        <w:t xml:space="preserve">y en el </w:t>
      </w:r>
      <w:r w:rsidR="00E753B8" w:rsidRPr="008D6D6A">
        <w:rPr>
          <w:rFonts w:ascii="Verdana" w:hAnsi="Verdana" w:cs="Times New Roman"/>
          <w:sz w:val="20"/>
          <w:szCs w:val="20"/>
        </w:rPr>
        <w:t>arbitraje</w:t>
      </w:r>
      <w:r w:rsidR="00AB30FD" w:rsidRPr="008D6D6A">
        <w:rPr>
          <w:rFonts w:ascii="Verdana" w:hAnsi="Verdana" w:cs="Times New Roman"/>
          <w:sz w:val="20"/>
          <w:szCs w:val="20"/>
        </w:rPr>
        <w:t xml:space="preserve"> de inversiones en general</w:t>
      </w:r>
      <w:r w:rsidR="00E753B8" w:rsidRPr="008D6D6A">
        <w:rPr>
          <w:rFonts w:ascii="Verdana" w:hAnsi="Verdana" w:cs="Times New Roman"/>
          <w:sz w:val="20"/>
          <w:szCs w:val="20"/>
        </w:rPr>
        <w:t xml:space="preserve">. </w:t>
      </w:r>
      <w:r w:rsidR="007F7F07" w:rsidRPr="008D6D6A">
        <w:rPr>
          <w:rFonts w:ascii="Verdana" w:hAnsi="Verdana" w:cs="Times New Roman"/>
          <w:sz w:val="20"/>
          <w:szCs w:val="20"/>
        </w:rPr>
        <w:t>Sin duda</w:t>
      </w:r>
      <w:r w:rsidR="00F1154B" w:rsidRPr="008D6D6A">
        <w:rPr>
          <w:rFonts w:ascii="Verdana" w:hAnsi="Verdana" w:cs="Times New Roman"/>
          <w:sz w:val="20"/>
          <w:szCs w:val="20"/>
        </w:rPr>
        <w:t xml:space="preserve"> alguna</w:t>
      </w:r>
      <w:r w:rsidR="0059631E" w:rsidRPr="008D6D6A">
        <w:rPr>
          <w:rFonts w:ascii="Verdana" w:hAnsi="Verdana" w:cs="Times New Roman"/>
          <w:sz w:val="20"/>
          <w:szCs w:val="20"/>
        </w:rPr>
        <w:t>, el presente apartado</w:t>
      </w:r>
      <w:r w:rsidR="007F7F07" w:rsidRPr="008D6D6A">
        <w:rPr>
          <w:rFonts w:ascii="Verdana" w:hAnsi="Verdana" w:cs="Times New Roman"/>
          <w:sz w:val="20"/>
          <w:szCs w:val="20"/>
        </w:rPr>
        <w:t xml:space="preserve"> nos presenta un escalón oscuro en la búsqueda de una mayor transparencia</w:t>
      </w:r>
      <w:r w:rsidR="002F52A3" w:rsidRPr="008D6D6A">
        <w:rPr>
          <w:rFonts w:ascii="Verdana" w:hAnsi="Verdana" w:cs="Times New Roman"/>
          <w:sz w:val="20"/>
          <w:szCs w:val="20"/>
        </w:rPr>
        <w:t xml:space="preserve"> en el arbitraje de inversiones.</w:t>
      </w:r>
      <w:r w:rsidR="00D04928" w:rsidRPr="008D6D6A">
        <w:rPr>
          <w:rFonts w:ascii="Verdana" w:hAnsi="Verdana" w:cs="Times New Roman"/>
          <w:sz w:val="20"/>
          <w:szCs w:val="20"/>
        </w:rPr>
        <w:t xml:space="preserve"> </w:t>
      </w:r>
      <w:r w:rsidR="00ED2331" w:rsidRPr="008D6D6A">
        <w:rPr>
          <w:rFonts w:ascii="Verdana" w:hAnsi="Verdana" w:cs="Times New Roman"/>
          <w:sz w:val="20"/>
          <w:szCs w:val="20"/>
        </w:rPr>
        <w:t>Entendemos que t</w:t>
      </w:r>
      <w:r w:rsidR="007F7F07" w:rsidRPr="008D6D6A">
        <w:rPr>
          <w:rFonts w:ascii="Verdana" w:hAnsi="Verdana" w:cs="Times New Roman"/>
          <w:sz w:val="20"/>
          <w:szCs w:val="20"/>
        </w:rPr>
        <w:t xml:space="preserve">oda </w:t>
      </w:r>
      <w:r w:rsidR="00D04928" w:rsidRPr="008D6D6A">
        <w:rPr>
          <w:rFonts w:ascii="Verdana" w:hAnsi="Verdana" w:cs="Times New Roman"/>
          <w:sz w:val="20"/>
          <w:szCs w:val="20"/>
        </w:rPr>
        <w:t xml:space="preserve">la </w:t>
      </w:r>
      <w:r w:rsidR="007F7F07" w:rsidRPr="008D6D6A">
        <w:rPr>
          <w:rFonts w:ascii="Verdana" w:hAnsi="Verdana" w:cs="Times New Roman"/>
          <w:sz w:val="20"/>
          <w:szCs w:val="20"/>
        </w:rPr>
        <w:t>documentación generada en el procedimiento, con excepción de aquell</w:t>
      </w:r>
      <w:r w:rsidR="00A97CA6" w:rsidRPr="008D6D6A">
        <w:rPr>
          <w:rFonts w:ascii="Verdana" w:hAnsi="Verdana" w:cs="Times New Roman"/>
          <w:sz w:val="20"/>
          <w:szCs w:val="20"/>
        </w:rPr>
        <w:t>a</w:t>
      </w:r>
      <w:r w:rsidR="00416F3A" w:rsidRPr="008D6D6A">
        <w:rPr>
          <w:rFonts w:ascii="Verdana" w:hAnsi="Verdana" w:cs="Times New Roman"/>
          <w:sz w:val="20"/>
          <w:szCs w:val="20"/>
        </w:rPr>
        <w:t xml:space="preserve"> que obligatoriamente debe ser</w:t>
      </w:r>
      <w:r w:rsidR="007F7F07" w:rsidRPr="008D6D6A">
        <w:rPr>
          <w:rFonts w:ascii="Verdana" w:hAnsi="Verdana" w:cs="Times New Roman"/>
          <w:sz w:val="20"/>
          <w:szCs w:val="20"/>
        </w:rPr>
        <w:t xml:space="preserve"> confidencial</w:t>
      </w:r>
      <w:r w:rsidR="00841153" w:rsidRPr="008D6D6A">
        <w:rPr>
          <w:rFonts w:ascii="Verdana" w:hAnsi="Verdana" w:cs="Times New Roman"/>
          <w:sz w:val="20"/>
          <w:szCs w:val="20"/>
        </w:rPr>
        <w:t xml:space="preserve"> -cuestión que</w:t>
      </w:r>
      <w:r w:rsidR="007F7F07" w:rsidRPr="008D6D6A">
        <w:rPr>
          <w:rFonts w:ascii="Verdana" w:hAnsi="Verdana" w:cs="Times New Roman"/>
          <w:sz w:val="20"/>
          <w:szCs w:val="20"/>
        </w:rPr>
        <w:t xml:space="preserve"> analizaremos </w:t>
      </w:r>
      <w:r w:rsidR="0060295A" w:rsidRPr="008D6D6A">
        <w:rPr>
          <w:rFonts w:ascii="Verdana" w:hAnsi="Verdana" w:cs="Times New Roman"/>
          <w:sz w:val="20"/>
          <w:szCs w:val="20"/>
        </w:rPr>
        <w:t>más adelante</w:t>
      </w:r>
      <w:r w:rsidR="007F7F07" w:rsidRPr="008D6D6A">
        <w:rPr>
          <w:rFonts w:ascii="Verdana" w:hAnsi="Verdana" w:cs="Times New Roman"/>
          <w:sz w:val="20"/>
          <w:szCs w:val="20"/>
        </w:rPr>
        <w:t xml:space="preserve">- </w:t>
      </w:r>
      <w:r w:rsidR="00416F3A" w:rsidRPr="008D6D6A">
        <w:rPr>
          <w:rFonts w:ascii="Verdana" w:hAnsi="Verdana" w:cs="Times New Roman"/>
          <w:sz w:val="20"/>
          <w:szCs w:val="20"/>
        </w:rPr>
        <w:t xml:space="preserve">debería, </w:t>
      </w:r>
      <w:r w:rsidR="00416F3A" w:rsidRPr="008D6D6A">
        <w:rPr>
          <w:rFonts w:ascii="Verdana" w:hAnsi="Verdana" w:cs="Times New Roman"/>
          <w:i/>
          <w:sz w:val="20"/>
          <w:szCs w:val="20"/>
        </w:rPr>
        <w:t>lege ferenda</w:t>
      </w:r>
      <w:r w:rsidR="00416F3A" w:rsidRPr="008D6D6A">
        <w:rPr>
          <w:rFonts w:ascii="Verdana" w:hAnsi="Verdana" w:cs="Times New Roman"/>
          <w:sz w:val="20"/>
          <w:szCs w:val="20"/>
        </w:rPr>
        <w:t xml:space="preserve">, </w:t>
      </w:r>
      <w:r w:rsidR="00D04928" w:rsidRPr="008D6D6A">
        <w:rPr>
          <w:rFonts w:ascii="Verdana" w:hAnsi="Verdana" w:cs="Times New Roman"/>
          <w:sz w:val="20"/>
          <w:szCs w:val="20"/>
        </w:rPr>
        <w:t>ser pública desde el inicio, y no dejarla</w:t>
      </w:r>
      <w:r w:rsidR="007F7F07" w:rsidRPr="008D6D6A">
        <w:rPr>
          <w:rFonts w:ascii="Verdana" w:hAnsi="Verdana" w:cs="Times New Roman"/>
          <w:sz w:val="20"/>
          <w:szCs w:val="20"/>
        </w:rPr>
        <w:t xml:space="preserve"> a la simple determinación </w:t>
      </w:r>
      <w:r w:rsidR="007F7F07" w:rsidRPr="008D6D6A">
        <w:rPr>
          <w:rFonts w:ascii="Verdana" w:hAnsi="Verdana" w:cs="Times New Roman"/>
          <w:sz w:val="20"/>
          <w:szCs w:val="20"/>
        </w:rPr>
        <w:lastRenderedPageBreak/>
        <w:t xml:space="preserve">del tribunal, si es que en realidad deseamos </w:t>
      </w:r>
      <w:r w:rsidR="005A2B8F" w:rsidRPr="008D6D6A">
        <w:rPr>
          <w:rFonts w:ascii="Verdana" w:hAnsi="Verdana" w:cs="Times New Roman"/>
          <w:sz w:val="20"/>
          <w:szCs w:val="20"/>
        </w:rPr>
        <w:t>que el arbitraje de inversiones sea transparente.</w:t>
      </w:r>
      <w:r w:rsidR="007F7F07" w:rsidRPr="008D6D6A">
        <w:rPr>
          <w:rFonts w:ascii="Verdana" w:hAnsi="Verdana" w:cs="Times New Roman"/>
          <w:sz w:val="20"/>
          <w:szCs w:val="20"/>
        </w:rPr>
        <w:t xml:space="preserve"> </w:t>
      </w:r>
    </w:p>
    <w:p w:rsidR="00ED2331" w:rsidRPr="008D6D6A" w:rsidRDefault="00173AC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En efecto, </w:t>
      </w:r>
      <w:r w:rsidR="00667687" w:rsidRPr="008D6D6A">
        <w:rPr>
          <w:rFonts w:ascii="Verdana" w:hAnsi="Verdana" w:cs="Times New Roman"/>
          <w:sz w:val="20"/>
          <w:szCs w:val="20"/>
        </w:rPr>
        <w:t>el presente artículo 3 d</w:t>
      </w:r>
      <w:r w:rsidRPr="008D6D6A">
        <w:rPr>
          <w:rFonts w:ascii="Verdana" w:hAnsi="Verdana" w:cs="Times New Roman"/>
          <w:sz w:val="20"/>
          <w:szCs w:val="20"/>
        </w:rPr>
        <w:t xml:space="preserve">el Reglamento </w:t>
      </w:r>
      <w:r w:rsidR="00E14B7F" w:rsidRPr="008D6D6A">
        <w:rPr>
          <w:rFonts w:ascii="Verdana" w:hAnsi="Verdana" w:cs="Times New Roman"/>
          <w:sz w:val="20"/>
          <w:szCs w:val="20"/>
        </w:rPr>
        <w:t xml:space="preserve">sobre </w:t>
      </w:r>
      <w:r w:rsidR="0000426C" w:rsidRPr="008D6D6A">
        <w:rPr>
          <w:rFonts w:ascii="Verdana" w:hAnsi="Verdana" w:cs="Times New Roman"/>
          <w:sz w:val="20"/>
          <w:szCs w:val="20"/>
        </w:rPr>
        <w:t xml:space="preserve">la </w:t>
      </w:r>
      <w:r w:rsidR="00E14B7F" w:rsidRPr="008D6D6A">
        <w:rPr>
          <w:rFonts w:ascii="Verdana" w:hAnsi="Verdana" w:cs="Times New Roman"/>
          <w:sz w:val="20"/>
          <w:szCs w:val="20"/>
        </w:rPr>
        <w:t>T</w:t>
      </w:r>
      <w:r w:rsidRPr="008D6D6A">
        <w:rPr>
          <w:rFonts w:ascii="Verdana" w:hAnsi="Verdana" w:cs="Times New Roman"/>
          <w:sz w:val="20"/>
          <w:szCs w:val="20"/>
        </w:rPr>
        <w:t>ransparencia ofrece un marc</w:t>
      </w:r>
      <w:r w:rsidR="00E14B7F" w:rsidRPr="008D6D6A">
        <w:rPr>
          <w:rFonts w:ascii="Verdana" w:hAnsi="Verdana" w:cs="Times New Roman"/>
          <w:sz w:val="20"/>
          <w:szCs w:val="20"/>
        </w:rPr>
        <w:t>o</w:t>
      </w:r>
      <w:r w:rsidR="00C052B2" w:rsidRPr="008D6D6A">
        <w:rPr>
          <w:rFonts w:ascii="Verdana" w:hAnsi="Verdana" w:cs="Times New Roman"/>
          <w:sz w:val="20"/>
          <w:szCs w:val="20"/>
        </w:rPr>
        <w:t xml:space="preserve"> </w:t>
      </w:r>
      <w:r w:rsidR="002F52A3" w:rsidRPr="008D6D6A">
        <w:rPr>
          <w:rFonts w:ascii="Verdana" w:hAnsi="Verdana" w:cs="Times New Roman"/>
          <w:sz w:val="20"/>
          <w:szCs w:val="20"/>
        </w:rPr>
        <w:t>e</w:t>
      </w:r>
      <w:r w:rsidR="00B73861" w:rsidRPr="008D6D6A">
        <w:rPr>
          <w:rFonts w:ascii="Verdana" w:hAnsi="Verdana" w:cs="Times New Roman"/>
          <w:sz w:val="20"/>
          <w:szCs w:val="20"/>
        </w:rPr>
        <w:t>n el que</w:t>
      </w:r>
      <w:r w:rsidR="00F5289B" w:rsidRPr="008D6D6A">
        <w:rPr>
          <w:rFonts w:ascii="Verdana" w:hAnsi="Verdana" w:cs="Times New Roman"/>
          <w:sz w:val="20"/>
          <w:szCs w:val="20"/>
        </w:rPr>
        <w:t xml:space="preserve"> </w:t>
      </w:r>
      <w:r w:rsidR="00F25E7B" w:rsidRPr="008D6D6A">
        <w:rPr>
          <w:rFonts w:ascii="Verdana" w:hAnsi="Verdana" w:cs="Times New Roman"/>
          <w:sz w:val="20"/>
          <w:szCs w:val="20"/>
        </w:rPr>
        <w:t>gran parte</w:t>
      </w:r>
      <w:r w:rsidR="00F5289B" w:rsidRPr="008D6D6A">
        <w:rPr>
          <w:rFonts w:ascii="Verdana" w:hAnsi="Verdana" w:cs="Times New Roman"/>
          <w:sz w:val="20"/>
          <w:szCs w:val="20"/>
        </w:rPr>
        <w:t xml:space="preserve"> </w:t>
      </w:r>
      <w:r w:rsidR="00E14B7F" w:rsidRPr="008D6D6A">
        <w:rPr>
          <w:rFonts w:ascii="Verdana" w:hAnsi="Verdana" w:cs="Times New Roman"/>
          <w:sz w:val="20"/>
          <w:szCs w:val="20"/>
        </w:rPr>
        <w:t>de</w:t>
      </w:r>
      <w:r w:rsidRPr="008D6D6A">
        <w:rPr>
          <w:rFonts w:ascii="Verdana" w:hAnsi="Verdana" w:cs="Times New Roman"/>
          <w:sz w:val="20"/>
          <w:szCs w:val="20"/>
        </w:rPr>
        <w:t xml:space="preserve"> la información </w:t>
      </w:r>
      <w:r w:rsidR="00F5289B" w:rsidRPr="008D6D6A">
        <w:rPr>
          <w:rFonts w:ascii="Verdana" w:hAnsi="Verdana" w:cs="Times New Roman"/>
          <w:sz w:val="20"/>
          <w:szCs w:val="20"/>
        </w:rPr>
        <w:t>-ya que existen</w:t>
      </w:r>
      <w:r w:rsidR="00F25E7B" w:rsidRPr="008D6D6A">
        <w:rPr>
          <w:rFonts w:ascii="Verdana" w:hAnsi="Verdana" w:cs="Times New Roman"/>
          <w:sz w:val="20"/>
          <w:szCs w:val="20"/>
        </w:rPr>
        <w:t xml:space="preserve"> algunas</w:t>
      </w:r>
      <w:r w:rsidR="00F5289B" w:rsidRPr="008D6D6A">
        <w:rPr>
          <w:rFonts w:ascii="Verdana" w:hAnsi="Verdana" w:cs="Times New Roman"/>
          <w:sz w:val="20"/>
          <w:szCs w:val="20"/>
        </w:rPr>
        <w:t xml:space="preserve"> excepciones- </w:t>
      </w:r>
      <w:r w:rsidRPr="008D6D6A">
        <w:rPr>
          <w:rFonts w:ascii="Verdana" w:hAnsi="Verdana" w:cs="Times New Roman"/>
          <w:sz w:val="20"/>
          <w:szCs w:val="20"/>
        </w:rPr>
        <w:t xml:space="preserve">relativa </w:t>
      </w:r>
      <w:r w:rsidR="00E14B7F" w:rsidRPr="008D6D6A">
        <w:rPr>
          <w:rFonts w:ascii="Verdana" w:hAnsi="Verdana" w:cs="Times New Roman"/>
          <w:sz w:val="20"/>
          <w:szCs w:val="20"/>
        </w:rPr>
        <w:t>al</w:t>
      </w:r>
      <w:r w:rsidRPr="008D6D6A">
        <w:rPr>
          <w:rFonts w:ascii="Verdana" w:hAnsi="Verdana" w:cs="Times New Roman"/>
          <w:sz w:val="20"/>
          <w:szCs w:val="20"/>
        </w:rPr>
        <w:t xml:space="preserve"> procedimiento arbitral</w:t>
      </w:r>
      <w:r w:rsidR="00375AA4">
        <w:rPr>
          <w:rFonts w:ascii="Verdana" w:hAnsi="Verdana" w:cs="Times New Roman"/>
          <w:sz w:val="20"/>
          <w:szCs w:val="20"/>
        </w:rPr>
        <w:t>,</w:t>
      </w:r>
      <w:r w:rsidRPr="008D6D6A">
        <w:rPr>
          <w:rFonts w:ascii="Verdana" w:hAnsi="Verdana" w:cs="Times New Roman"/>
          <w:sz w:val="20"/>
          <w:szCs w:val="20"/>
        </w:rPr>
        <w:t xml:space="preserve"> iniciado sobre la base de un tratado</w:t>
      </w:r>
      <w:r w:rsidR="00375AA4">
        <w:rPr>
          <w:rFonts w:ascii="Verdana" w:hAnsi="Verdana" w:cs="Times New Roman"/>
          <w:sz w:val="20"/>
          <w:szCs w:val="20"/>
        </w:rPr>
        <w:t>,</w:t>
      </w:r>
      <w:r w:rsidR="00F25E7B" w:rsidRPr="008D6D6A">
        <w:rPr>
          <w:rFonts w:ascii="Verdana" w:hAnsi="Verdana" w:cs="Times New Roman"/>
          <w:sz w:val="20"/>
          <w:szCs w:val="20"/>
        </w:rPr>
        <w:t xml:space="preserve"> </w:t>
      </w:r>
      <w:r w:rsidRPr="008D6D6A">
        <w:rPr>
          <w:rFonts w:ascii="Verdana" w:hAnsi="Verdana" w:cs="Times New Roman"/>
          <w:sz w:val="20"/>
          <w:szCs w:val="20"/>
        </w:rPr>
        <w:t xml:space="preserve">es puesta a disposición del público a través de un registro que será operado </w:t>
      </w:r>
      <w:r w:rsidR="00C052B2" w:rsidRPr="008D6D6A">
        <w:rPr>
          <w:rFonts w:ascii="Verdana" w:hAnsi="Verdana" w:cs="Times New Roman"/>
          <w:sz w:val="20"/>
          <w:szCs w:val="20"/>
        </w:rPr>
        <w:t>por la</w:t>
      </w:r>
      <w:r w:rsidRPr="008D6D6A">
        <w:rPr>
          <w:rFonts w:ascii="Verdana" w:hAnsi="Verdana" w:cs="Times New Roman"/>
          <w:sz w:val="20"/>
          <w:szCs w:val="20"/>
        </w:rPr>
        <w:t xml:space="preserve"> CNUDMI</w:t>
      </w:r>
      <w:r w:rsidR="002F52A3" w:rsidRPr="008D6D6A">
        <w:rPr>
          <w:rFonts w:ascii="Verdana" w:hAnsi="Verdana" w:cs="Times New Roman"/>
          <w:sz w:val="20"/>
          <w:szCs w:val="20"/>
        </w:rPr>
        <w:t xml:space="preserve"> o por quien ésta decida. El</w:t>
      </w:r>
      <w:r w:rsidR="00B73861" w:rsidRPr="008D6D6A">
        <w:rPr>
          <w:rFonts w:ascii="Verdana" w:hAnsi="Verdana" w:cs="Times New Roman"/>
          <w:sz w:val="20"/>
          <w:szCs w:val="20"/>
        </w:rPr>
        <w:t xml:space="preserve"> propio artículo</w:t>
      </w:r>
      <w:r w:rsidR="002F52A3" w:rsidRPr="008D6D6A">
        <w:rPr>
          <w:rFonts w:ascii="Verdana" w:hAnsi="Verdana" w:cs="Times New Roman"/>
          <w:sz w:val="20"/>
          <w:szCs w:val="20"/>
        </w:rPr>
        <w:t xml:space="preserve"> responsabiliza al </w:t>
      </w:r>
      <w:r w:rsidR="00F42023" w:rsidRPr="008D6D6A">
        <w:rPr>
          <w:rFonts w:ascii="Verdana" w:hAnsi="Verdana" w:cs="Times New Roman"/>
          <w:sz w:val="20"/>
          <w:szCs w:val="20"/>
        </w:rPr>
        <w:t>tribunal</w:t>
      </w:r>
      <w:r w:rsidR="002F52A3" w:rsidRPr="008D6D6A">
        <w:rPr>
          <w:rFonts w:ascii="Verdana" w:hAnsi="Verdana" w:cs="Times New Roman"/>
          <w:sz w:val="20"/>
          <w:szCs w:val="20"/>
        </w:rPr>
        <w:t xml:space="preserve"> arbitral de comunicar</w:t>
      </w:r>
      <w:r w:rsidR="00F42023" w:rsidRPr="008D6D6A">
        <w:rPr>
          <w:rFonts w:ascii="Verdana" w:hAnsi="Verdana" w:cs="Times New Roman"/>
          <w:sz w:val="20"/>
          <w:szCs w:val="20"/>
        </w:rPr>
        <w:t xml:space="preserve"> la documentación </w:t>
      </w:r>
      <w:r w:rsidR="002F52A3" w:rsidRPr="008D6D6A">
        <w:rPr>
          <w:rFonts w:ascii="Verdana" w:hAnsi="Verdana" w:cs="Times New Roman"/>
          <w:sz w:val="20"/>
          <w:szCs w:val="20"/>
        </w:rPr>
        <w:t xml:space="preserve">objeto de publicación </w:t>
      </w:r>
      <w:r w:rsidR="00F42023" w:rsidRPr="008D6D6A">
        <w:rPr>
          <w:rFonts w:ascii="Verdana" w:hAnsi="Verdana" w:cs="Times New Roman"/>
          <w:sz w:val="20"/>
          <w:szCs w:val="20"/>
        </w:rPr>
        <w:t>al archivo</w:t>
      </w:r>
      <w:r w:rsidR="00F5289B" w:rsidRPr="008D6D6A">
        <w:rPr>
          <w:rFonts w:ascii="Verdana" w:hAnsi="Verdana" w:cs="Times New Roman"/>
          <w:sz w:val="20"/>
          <w:szCs w:val="20"/>
        </w:rPr>
        <w:t xml:space="preserve"> o repositorio</w:t>
      </w:r>
      <w:r w:rsidR="00F42023" w:rsidRPr="008D6D6A">
        <w:rPr>
          <w:rStyle w:val="Refdenotaalpie"/>
          <w:rFonts w:ascii="Verdana" w:hAnsi="Verdana" w:cs="Times New Roman"/>
          <w:sz w:val="20"/>
          <w:szCs w:val="20"/>
        </w:rPr>
        <w:footnoteReference w:id="80"/>
      </w:r>
      <w:r w:rsidR="00F25E7B" w:rsidRPr="008D6D6A">
        <w:rPr>
          <w:rFonts w:ascii="Verdana" w:hAnsi="Verdana" w:cs="Times New Roman"/>
          <w:sz w:val="20"/>
          <w:szCs w:val="20"/>
        </w:rPr>
        <w:t>,</w:t>
      </w:r>
      <w:r w:rsidR="00ED2331" w:rsidRPr="008D6D6A">
        <w:rPr>
          <w:rFonts w:ascii="Verdana" w:hAnsi="Verdana" w:cs="Times New Roman"/>
          <w:sz w:val="20"/>
          <w:szCs w:val="20"/>
        </w:rPr>
        <w:t xml:space="preserve"> </w:t>
      </w:r>
      <w:r w:rsidR="00F25E7B" w:rsidRPr="008D6D6A">
        <w:rPr>
          <w:rFonts w:ascii="Verdana" w:hAnsi="Verdana" w:cs="Times New Roman"/>
          <w:sz w:val="20"/>
          <w:szCs w:val="20"/>
        </w:rPr>
        <w:t>e</w:t>
      </w:r>
      <w:r w:rsidR="00B73861" w:rsidRPr="008D6D6A">
        <w:rPr>
          <w:rFonts w:ascii="Verdana" w:hAnsi="Verdana" w:cs="Times New Roman"/>
          <w:sz w:val="20"/>
          <w:szCs w:val="20"/>
        </w:rPr>
        <w:t>l cual</w:t>
      </w:r>
      <w:r w:rsidR="0036205A" w:rsidRPr="008D6D6A">
        <w:rPr>
          <w:rFonts w:ascii="Verdana" w:hAnsi="Verdana" w:cs="Times New Roman"/>
          <w:sz w:val="20"/>
          <w:szCs w:val="20"/>
        </w:rPr>
        <w:t xml:space="preserve"> le otorga cierta flexibilidad al tribunal para la divulgación de la documentación teniendo en cuenta el tipo de documento ante el cual se encuentra. </w:t>
      </w:r>
    </w:p>
    <w:p w:rsidR="00251FD3" w:rsidRPr="008D6D6A" w:rsidRDefault="0036205A"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Por último, el apartado 5</w:t>
      </w:r>
      <w:r w:rsidR="009A605F" w:rsidRPr="008D6D6A">
        <w:rPr>
          <w:rFonts w:ascii="Verdana" w:hAnsi="Verdana" w:cs="Times New Roman"/>
          <w:sz w:val="20"/>
          <w:szCs w:val="20"/>
        </w:rPr>
        <w:t xml:space="preserve"> </w:t>
      </w:r>
      <w:r w:rsidRPr="008D6D6A">
        <w:rPr>
          <w:rFonts w:ascii="Verdana" w:hAnsi="Verdana" w:cs="Times New Roman"/>
          <w:sz w:val="20"/>
          <w:szCs w:val="20"/>
        </w:rPr>
        <w:t>del propio artículo</w:t>
      </w:r>
      <w:r w:rsidR="007C4A00" w:rsidRPr="008D6D6A">
        <w:rPr>
          <w:rStyle w:val="Refdenotaalpie"/>
          <w:rFonts w:ascii="Verdana" w:hAnsi="Verdana" w:cs="Times New Roman"/>
          <w:sz w:val="20"/>
          <w:szCs w:val="20"/>
        </w:rPr>
        <w:footnoteReference w:id="81"/>
      </w:r>
      <w:r w:rsidRPr="008D6D6A">
        <w:rPr>
          <w:rFonts w:ascii="Verdana" w:hAnsi="Verdana" w:cs="Times New Roman"/>
          <w:sz w:val="20"/>
          <w:szCs w:val="20"/>
        </w:rPr>
        <w:t>, establece una excepción respecto al costo que genera la divulgación de la información</w:t>
      </w:r>
      <w:r w:rsidR="001F6976" w:rsidRPr="008D6D6A">
        <w:rPr>
          <w:rFonts w:ascii="Verdana" w:hAnsi="Verdana" w:cs="Times New Roman"/>
          <w:sz w:val="20"/>
          <w:szCs w:val="20"/>
        </w:rPr>
        <w:t xml:space="preserve">. </w:t>
      </w:r>
      <w:r w:rsidR="00A354FA" w:rsidRPr="008D6D6A">
        <w:rPr>
          <w:rFonts w:ascii="Verdana" w:hAnsi="Verdana" w:cs="Times New Roman"/>
          <w:sz w:val="20"/>
          <w:szCs w:val="20"/>
        </w:rPr>
        <w:t>En</w:t>
      </w:r>
      <w:r w:rsidRPr="008D6D6A">
        <w:rPr>
          <w:rFonts w:ascii="Verdana" w:hAnsi="Verdana" w:cs="Times New Roman"/>
          <w:sz w:val="20"/>
          <w:szCs w:val="20"/>
        </w:rPr>
        <w:t xml:space="preserve"> </w:t>
      </w:r>
      <w:r w:rsidR="00B73861" w:rsidRPr="008D6D6A">
        <w:rPr>
          <w:rFonts w:ascii="Verdana" w:hAnsi="Verdana" w:cs="Times New Roman"/>
          <w:sz w:val="20"/>
          <w:szCs w:val="20"/>
        </w:rPr>
        <w:t xml:space="preserve">su </w:t>
      </w:r>
      <w:r w:rsidRPr="008D6D6A">
        <w:rPr>
          <w:rFonts w:ascii="Verdana" w:hAnsi="Verdana" w:cs="Times New Roman"/>
          <w:sz w:val="20"/>
          <w:szCs w:val="20"/>
        </w:rPr>
        <w:t>virtud</w:t>
      </w:r>
      <w:r w:rsidR="00B73861" w:rsidRPr="008D6D6A">
        <w:rPr>
          <w:rFonts w:ascii="Verdana" w:hAnsi="Verdana" w:cs="Times New Roman"/>
          <w:sz w:val="20"/>
          <w:szCs w:val="20"/>
        </w:rPr>
        <w:t xml:space="preserve">, </w:t>
      </w:r>
      <w:r w:rsidRPr="008D6D6A">
        <w:rPr>
          <w:rFonts w:ascii="Verdana" w:hAnsi="Verdana" w:cs="Times New Roman"/>
          <w:sz w:val="20"/>
          <w:szCs w:val="20"/>
        </w:rPr>
        <w:t xml:space="preserve">la persona que </w:t>
      </w:r>
      <w:r w:rsidR="00FC4A5C" w:rsidRPr="008D6D6A">
        <w:rPr>
          <w:rFonts w:ascii="Verdana" w:hAnsi="Verdana" w:cs="Times New Roman"/>
          <w:sz w:val="20"/>
          <w:szCs w:val="20"/>
        </w:rPr>
        <w:t xml:space="preserve">solicite el acceso a los </w:t>
      </w:r>
      <w:r w:rsidRPr="008D6D6A">
        <w:rPr>
          <w:rFonts w:ascii="Verdana" w:hAnsi="Verdana" w:cs="Times New Roman"/>
          <w:sz w:val="20"/>
          <w:szCs w:val="20"/>
        </w:rPr>
        <w:t>documen</w:t>
      </w:r>
      <w:r w:rsidR="005F06DF" w:rsidRPr="008D6D6A">
        <w:rPr>
          <w:rFonts w:ascii="Verdana" w:hAnsi="Verdana" w:cs="Times New Roman"/>
          <w:sz w:val="20"/>
          <w:szCs w:val="20"/>
        </w:rPr>
        <w:t>tos contenidos en el apartado 3</w:t>
      </w:r>
      <w:r w:rsidRPr="008D6D6A">
        <w:rPr>
          <w:rFonts w:ascii="Verdana" w:hAnsi="Verdana" w:cs="Times New Roman"/>
          <w:sz w:val="20"/>
          <w:szCs w:val="20"/>
        </w:rPr>
        <w:t xml:space="preserve"> </w:t>
      </w:r>
      <w:r w:rsidR="003D5B46" w:rsidRPr="008D6D6A">
        <w:rPr>
          <w:rFonts w:ascii="Verdana" w:hAnsi="Verdana" w:cs="Times New Roman"/>
          <w:sz w:val="20"/>
          <w:szCs w:val="20"/>
        </w:rPr>
        <w:t>tendrá que sufragar los c</w:t>
      </w:r>
      <w:r w:rsidR="00ED2331" w:rsidRPr="008D6D6A">
        <w:rPr>
          <w:rFonts w:ascii="Verdana" w:hAnsi="Verdana" w:cs="Times New Roman"/>
          <w:sz w:val="20"/>
          <w:szCs w:val="20"/>
        </w:rPr>
        <w:t>ostos administrativos generados</w:t>
      </w:r>
      <w:r w:rsidR="003D5B46" w:rsidRPr="008D6D6A">
        <w:rPr>
          <w:rFonts w:ascii="Verdana" w:hAnsi="Verdana" w:cs="Times New Roman"/>
          <w:sz w:val="20"/>
          <w:szCs w:val="20"/>
        </w:rPr>
        <w:t xml:space="preserve"> una vez se pongan dichos documentos a disposición de la persona interesada</w:t>
      </w:r>
      <w:r w:rsidR="00416A6C" w:rsidRPr="008D6D6A">
        <w:rPr>
          <w:rStyle w:val="Refdenotaalpie"/>
          <w:rFonts w:ascii="Verdana" w:hAnsi="Verdana" w:cs="Times New Roman"/>
          <w:sz w:val="20"/>
          <w:szCs w:val="20"/>
        </w:rPr>
        <w:footnoteReference w:id="82"/>
      </w:r>
      <w:r w:rsidR="003D5B46" w:rsidRPr="008D6D6A">
        <w:rPr>
          <w:rFonts w:ascii="Verdana" w:hAnsi="Verdana" w:cs="Times New Roman"/>
          <w:sz w:val="20"/>
          <w:szCs w:val="20"/>
        </w:rPr>
        <w:t xml:space="preserve">. </w:t>
      </w:r>
      <w:r w:rsidR="00FC4A5C" w:rsidRPr="008D6D6A">
        <w:rPr>
          <w:rFonts w:ascii="Verdana" w:hAnsi="Verdana" w:cs="Times New Roman"/>
          <w:sz w:val="20"/>
          <w:szCs w:val="20"/>
        </w:rPr>
        <w:t>Sin embargo, el Reglamento en el presente apartado</w:t>
      </w:r>
      <w:r w:rsidR="00BD5D2A" w:rsidRPr="008D6D6A">
        <w:rPr>
          <w:rFonts w:ascii="Verdana" w:hAnsi="Verdana" w:cs="Times New Roman"/>
          <w:sz w:val="20"/>
          <w:szCs w:val="20"/>
        </w:rPr>
        <w:t>,</w:t>
      </w:r>
      <w:r w:rsidR="00FC4A5C" w:rsidRPr="008D6D6A">
        <w:rPr>
          <w:rFonts w:ascii="Verdana" w:hAnsi="Verdana" w:cs="Times New Roman"/>
          <w:sz w:val="20"/>
          <w:szCs w:val="20"/>
        </w:rPr>
        <w:t xml:space="preserve"> así como en el resto del precepto objeto de an</w:t>
      </w:r>
      <w:r w:rsidR="00BD5D2A" w:rsidRPr="008D6D6A">
        <w:rPr>
          <w:rFonts w:ascii="Verdana" w:hAnsi="Verdana" w:cs="Times New Roman"/>
          <w:sz w:val="20"/>
          <w:szCs w:val="20"/>
        </w:rPr>
        <w:t>álisis</w:t>
      </w:r>
      <w:r w:rsidR="0000426C" w:rsidRPr="008D6D6A">
        <w:rPr>
          <w:rFonts w:ascii="Verdana" w:hAnsi="Verdana" w:cs="Times New Roman"/>
          <w:sz w:val="20"/>
          <w:szCs w:val="20"/>
        </w:rPr>
        <w:t>,</w:t>
      </w:r>
      <w:r w:rsidR="00BD5D2A" w:rsidRPr="008D6D6A">
        <w:rPr>
          <w:rFonts w:ascii="Verdana" w:hAnsi="Verdana" w:cs="Times New Roman"/>
          <w:sz w:val="20"/>
          <w:szCs w:val="20"/>
        </w:rPr>
        <w:t xml:space="preserve"> es omiso </w:t>
      </w:r>
      <w:r w:rsidR="00732C1C" w:rsidRPr="008D6D6A">
        <w:rPr>
          <w:rFonts w:ascii="Verdana" w:hAnsi="Verdana" w:cs="Times New Roman"/>
          <w:sz w:val="20"/>
          <w:szCs w:val="20"/>
        </w:rPr>
        <w:t>respecto de</w:t>
      </w:r>
      <w:r w:rsidR="00BE1744" w:rsidRPr="008D6D6A">
        <w:rPr>
          <w:rFonts w:ascii="Verdana" w:hAnsi="Verdana" w:cs="Times New Roman"/>
          <w:sz w:val="20"/>
          <w:szCs w:val="20"/>
        </w:rPr>
        <w:t xml:space="preserve"> los</w:t>
      </w:r>
      <w:r w:rsidR="00BD5D2A" w:rsidRPr="008D6D6A">
        <w:rPr>
          <w:rFonts w:ascii="Verdana" w:hAnsi="Verdana" w:cs="Times New Roman"/>
          <w:sz w:val="20"/>
          <w:szCs w:val="20"/>
        </w:rPr>
        <w:t xml:space="preserve"> costo</w:t>
      </w:r>
      <w:r w:rsidR="00BE1744" w:rsidRPr="008D6D6A">
        <w:rPr>
          <w:rFonts w:ascii="Verdana" w:hAnsi="Verdana" w:cs="Times New Roman"/>
          <w:sz w:val="20"/>
          <w:szCs w:val="20"/>
        </w:rPr>
        <w:t>s</w:t>
      </w:r>
      <w:r w:rsidR="00BD5D2A" w:rsidRPr="008D6D6A">
        <w:rPr>
          <w:rFonts w:ascii="Verdana" w:hAnsi="Verdana" w:cs="Times New Roman"/>
          <w:sz w:val="20"/>
          <w:szCs w:val="20"/>
        </w:rPr>
        <w:t xml:space="preserve"> </w:t>
      </w:r>
      <w:r w:rsidR="00CE61FF" w:rsidRPr="008D6D6A">
        <w:rPr>
          <w:rFonts w:ascii="Verdana" w:hAnsi="Verdana" w:cs="Times New Roman"/>
          <w:sz w:val="20"/>
          <w:szCs w:val="20"/>
        </w:rPr>
        <w:t>generados en la traducción de documentos que sean solicitados divulgar</w:t>
      </w:r>
      <w:r w:rsidR="00732C1C" w:rsidRPr="008D6D6A">
        <w:rPr>
          <w:rFonts w:ascii="Verdana" w:hAnsi="Verdana" w:cs="Times New Roman"/>
          <w:sz w:val="20"/>
          <w:szCs w:val="20"/>
        </w:rPr>
        <w:t xml:space="preserve">. El literal de la norma únicamente se refiere al costo que genera el acceso a la información, </w:t>
      </w:r>
      <w:r w:rsidR="00AB3DF5" w:rsidRPr="008D6D6A">
        <w:rPr>
          <w:rFonts w:ascii="Verdana" w:hAnsi="Verdana" w:cs="Times New Roman"/>
          <w:sz w:val="20"/>
          <w:szCs w:val="20"/>
        </w:rPr>
        <w:t>teniendo en cuenta que los documentos se encuentran en el archivo que las Partes litigantes han escogido como repositorio de la documentación del procedimiento. Pero no se pronuncia cuando algunos de dichos documentos, por ejemplo, los dictámenes periciales, las declaracion</w:t>
      </w:r>
      <w:r w:rsidR="00237F61">
        <w:rPr>
          <w:rFonts w:ascii="Verdana" w:hAnsi="Verdana" w:cs="Times New Roman"/>
          <w:sz w:val="20"/>
          <w:szCs w:val="20"/>
        </w:rPr>
        <w:t>es testimoniales que se soliciten</w:t>
      </w:r>
      <w:r w:rsidR="00AB3DF5" w:rsidRPr="008D6D6A">
        <w:rPr>
          <w:rFonts w:ascii="Verdana" w:hAnsi="Verdana" w:cs="Times New Roman"/>
          <w:sz w:val="20"/>
          <w:szCs w:val="20"/>
        </w:rPr>
        <w:t xml:space="preserve"> sean divulgados</w:t>
      </w:r>
      <w:r w:rsidR="00237F61">
        <w:rPr>
          <w:rFonts w:ascii="Verdana" w:hAnsi="Verdana" w:cs="Times New Roman"/>
          <w:sz w:val="20"/>
          <w:szCs w:val="20"/>
        </w:rPr>
        <w:t xml:space="preserve"> necesite</w:t>
      </w:r>
      <w:r w:rsidR="00732C1C" w:rsidRPr="008D6D6A">
        <w:rPr>
          <w:rFonts w:ascii="Verdana" w:hAnsi="Verdana" w:cs="Times New Roman"/>
          <w:sz w:val="20"/>
          <w:szCs w:val="20"/>
        </w:rPr>
        <w:t>n de una traducción.</w:t>
      </w:r>
      <w:r w:rsidR="00AB3DF5" w:rsidRPr="008D6D6A">
        <w:rPr>
          <w:rFonts w:ascii="Verdana" w:hAnsi="Verdana" w:cs="Times New Roman"/>
          <w:sz w:val="20"/>
          <w:szCs w:val="20"/>
        </w:rPr>
        <w:t xml:space="preserve"> </w:t>
      </w:r>
    </w:p>
    <w:p w:rsidR="00510063" w:rsidRPr="008D6D6A" w:rsidRDefault="00510063" w:rsidP="00510063">
      <w:pPr>
        <w:pStyle w:val="Contenidodelatabla"/>
        <w:rPr>
          <w:rFonts w:ascii="Verdana" w:hAnsi="Verdana" w:cs="Times New Roman"/>
          <w:sz w:val="20"/>
          <w:szCs w:val="20"/>
        </w:rPr>
      </w:pPr>
    </w:p>
    <w:p w:rsidR="004B552C" w:rsidRPr="008D6D6A" w:rsidRDefault="00E0258A" w:rsidP="006D3AD5">
      <w:pPr>
        <w:pStyle w:val="Contenidodelatabla"/>
        <w:spacing w:line="240" w:lineRule="auto"/>
        <w:ind w:firstLine="0"/>
        <w:outlineLvl w:val="1"/>
        <w:rPr>
          <w:rFonts w:ascii="Verdana" w:hAnsi="Verdana" w:cs="Times New Roman"/>
          <w:b/>
          <w:sz w:val="20"/>
          <w:szCs w:val="20"/>
        </w:rPr>
      </w:pPr>
      <w:bookmarkStart w:id="48" w:name="_Toc536741924"/>
      <w:bookmarkStart w:id="49" w:name="_Toc1224446"/>
      <w:r w:rsidRPr="008D6D6A">
        <w:rPr>
          <w:rFonts w:ascii="Verdana" w:hAnsi="Verdana" w:cs="Times New Roman"/>
          <w:b/>
          <w:sz w:val="20"/>
          <w:szCs w:val="20"/>
        </w:rPr>
        <w:t>4.4</w:t>
      </w:r>
      <w:r w:rsidR="00D80F1A" w:rsidRPr="008D6D6A">
        <w:rPr>
          <w:rFonts w:ascii="Verdana" w:hAnsi="Verdana" w:cs="Times New Roman"/>
          <w:b/>
          <w:sz w:val="20"/>
          <w:szCs w:val="20"/>
        </w:rPr>
        <w:t xml:space="preserve"> </w:t>
      </w:r>
      <w:r w:rsidR="00AF61E1" w:rsidRPr="008D6D6A">
        <w:rPr>
          <w:rFonts w:ascii="Verdana" w:hAnsi="Verdana" w:cs="Times New Roman"/>
          <w:b/>
          <w:sz w:val="20"/>
          <w:szCs w:val="20"/>
        </w:rPr>
        <w:t>Escritos presentados por terceros.</w:t>
      </w:r>
      <w:bookmarkEnd w:id="48"/>
      <w:bookmarkEnd w:id="49"/>
      <w:r w:rsidR="002D4FF1" w:rsidRPr="008D6D6A">
        <w:rPr>
          <w:rFonts w:ascii="Verdana" w:hAnsi="Verdana" w:cs="Times New Roman"/>
          <w:b/>
          <w:sz w:val="20"/>
          <w:szCs w:val="20"/>
        </w:rPr>
        <w:t xml:space="preserve"> </w:t>
      </w:r>
    </w:p>
    <w:p w:rsidR="00B17EBE" w:rsidRPr="008D6D6A" w:rsidRDefault="00557597"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El</w:t>
      </w:r>
      <w:r w:rsidRPr="008D6D6A">
        <w:rPr>
          <w:rFonts w:ascii="Verdana" w:hAnsi="Verdana" w:cs="Times New Roman"/>
          <w:b/>
          <w:sz w:val="20"/>
          <w:szCs w:val="20"/>
        </w:rPr>
        <w:t xml:space="preserve"> </w:t>
      </w:r>
      <w:r w:rsidR="00ED2331" w:rsidRPr="008D6D6A">
        <w:rPr>
          <w:rFonts w:ascii="Verdana" w:hAnsi="Verdana" w:cs="Times New Roman"/>
          <w:sz w:val="20"/>
          <w:szCs w:val="20"/>
        </w:rPr>
        <w:t>Reglamento</w:t>
      </w:r>
      <w:r w:rsidR="00F55F1B" w:rsidRPr="008D6D6A">
        <w:rPr>
          <w:rFonts w:ascii="Verdana" w:hAnsi="Verdana" w:cs="Times New Roman"/>
          <w:sz w:val="20"/>
          <w:szCs w:val="20"/>
        </w:rPr>
        <w:t xml:space="preserve"> </w:t>
      </w:r>
      <w:r w:rsidRPr="008D6D6A">
        <w:rPr>
          <w:rFonts w:ascii="Verdana" w:hAnsi="Verdana" w:cs="Times New Roman"/>
          <w:sz w:val="20"/>
          <w:szCs w:val="20"/>
        </w:rPr>
        <w:t>le dedica especial atención a las comunicac</w:t>
      </w:r>
      <w:r w:rsidR="00412758" w:rsidRPr="008D6D6A">
        <w:rPr>
          <w:rFonts w:ascii="Verdana" w:hAnsi="Verdana" w:cs="Times New Roman"/>
          <w:sz w:val="20"/>
          <w:szCs w:val="20"/>
        </w:rPr>
        <w:t xml:space="preserve">iones de terceros que no son </w:t>
      </w:r>
      <w:r w:rsidR="009E1EF9" w:rsidRPr="008D6D6A">
        <w:rPr>
          <w:rFonts w:ascii="Verdana" w:hAnsi="Verdana" w:cs="Times New Roman"/>
          <w:sz w:val="20"/>
          <w:szCs w:val="20"/>
        </w:rPr>
        <w:t>p</w:t>
      </w:r>
      <w:r w:rsidRPr="008D6D6A">
        <w:rPr>
          <w:rFonts w:ascii="Verdana" w:hAnsi="Verdana" w:cs="Times New Roman"/>
          <w:sz w:val="20"/>
          <w:szCs w:val="20"/>
        </w:rPr>
        <w:t>arte</w:t>
      </w:r>
      <w:r w:rsidR="00412758" w:rsidRPr="008D6D6A">
        <w:rPr>
          <w:rFonts w:ascii="Verdana" w:hAnsi="Verdana" w:cs="Times New Roman"/>
          <w:sz w:val="20"/>
          <w:szCs w:val="20"/>
        </w:rPr>
        <w:t>s</w:t>
      </w:r>
      <w:r w:rsidRPr="008D6D6A">
        <w:rPr>
          <w:rFonts w:ascii="Verdana" w:hAnsi="Verdana" w:cs="Times New Roman"/>
          <w:sz w:val="20"/>
          <w:szCs w:val="20"/>
        </w:rPr>
        <w:t xml:space="preserve"> de la controversia ni del propio tratado</w:t>
      </w:r>
      <w:r w:rsidR="001708C7" w:rsidRPr="008D6D6A">
        <w:rPr>
          <w:rFonts w:ascii="Verdana" w:hAnsi="Verdana" w:cs="Times New Roman"/>
          <w:sz w:val="20"/>
          <w:szCs w:val="20"/>
        </w:rPr>
        <w:t>:</w:t>
      </w:r>
      <w:r w:rsidR="00081B1F" w:rsidRPr="008D6D6A">
        <w:rPr>
          <w:rFonts w:ascii="Verdana" w:hAnsi="Verdana" w:cs="Times New Roman"/>
          <w:sz w:val="20"/>
          <w:szCs w:val="20"/>
        </w:rPr>
        <w:t xml:space="preserve"> “</w:t>
      </w:r>
      <w:r w:rsidR="00081B1F" w:rsidRPr="008D6D6A">
        <w:rPr>
          <w:rFonts w:ascii="Verdana" w:hAnsi="Verdana" w:cs="Times New Roman"/>
          <w:i/>
          <w:sz w:val="20"/>
          <w:szCs w:val="20"/>
        </w:rPr>
        <w:t>una vez consultado a las Partes litigantes, el Tribunal arbitral podrá permitir que una persona que no sea parte litigante ni sea una parte en el tratado no litigante (terceros) presente al tribunal un escrito relativo a cuestiones que sean objeto del litigio</w:t>
      </w:r>
      <w:r w:rsidR="00081B1F" w:rsidRPr="008D6D6A">
        <w:rPr>
          <w:rFonts w:ascii="Verdana" w:hAnsi="Verdana" w:cs="Times New Roman"/>
          <w:sz w:val="20"/>
          <w:szCs w:val="20"/>
        </w:rPr>
        <w:t>”</w:t>
      </w:r>
      <w:r w:rsidRPr="008D6D6A">
        <w:rPr>
          <w:rStyle w:val="Refdenotaalpie"/>
          <w:rFonts w:ascii="Verdana" w:hAnsi="Verdana" w:cs="Times New Roman"/>
          <w:sz w:val="20"/>
          <w:szCs w:val="20"/>
        </w:rPr>
        <w:footnoteReference w:id="83"/>
      </w:r>
      <w:r w:rsidR="00081B1F" w:rsidRPr="008D6D6A">
        <w:rPr>
          <w:rFonts w:ascii="Verdana" w:hAnsi="Verdana" w:cs="Times New Roman"/>
          <w:sz w:val="20"/>
          <w:szCs w:val="20"/>
        </w:rPr>
        <w:t>,</w:t>
      </w:r>
      <w:r w:rsidRPr="008D6D6A">
        <w:rPr>
          <w:rFonts w:ascii="Verdana" w:hAnsi="Verdana" w:cs="Times New Roman"/>
          <w:sz w:val="20"/>
          <w:szCs w:val="20"/>
        </w:rPr>
        <w:t xml:space="preserve"> </w:t>
      </w:r>
      <w:r w:rsidR="00ED2331" w:rsidRPr="008D6D6A">
        <w:rPr>
          <w:rFonts w:ascii="Verdana" w:hAnsi="Verdana" w:cs="Times New Roman"/>
          <w:sz w:val="20"/>
          <w:szCs w:val="20"/>
        </w:rPr>
        <w:t>estando en</w:t>
      </w:r>
      <w:r w:rsidRPr="008D6D6A">
        <w:rPr>
          <w:rFonts w:ascii="Verdana" w:hAnsi="Verdana" w:cs="Times New Roman"/>
          <w:sz w:val="20"/>
          <w:szCs w:val="20"/>
        </w:rPr>
        <w:t xml:space="preserve"> </w:t>
      </w:r>
      <w:r w:rsidR="009E1EF9" w:rsidRPr="008D6D6A">
        <w:rPr>
          <w:rFonts w:ascii="Verdana" w:hAnsi="Verdana" w:cs="Times New Roman"/>
          <w:sz w:val="20"/>
          <w:szCs w:val="20"/>
        </w:rPr>
        <w:t>consonancia</w:t>
      </w:r>
      <w:r w:rsidRPr="008D6D6A">
        <w:rPr>
          <w:rFonts w:ascii="Verdana" w:hAnsi="Verdana" w:cs="Times New Roman"/>
          <w:sz w:val="20"/>
          <w:szCs w:val="20"/>
        </w:rPr>
        <w:t xml:space="preserve"> con las facultades otorgadas al tribun</w:t>
      </w:r>
      <w:r w:rsidR="00F55F1B" w:rsidRPr="008D6D6A">
        <w:rPr>
          <w:rFonts w:ascii="Verdana" w:hAnsi="Verdana" w:cs="Times New Roman"/>
          <w:sz w:val="20"/>
          <w:szCs w:val="20"/>
        </w:rPr>
        <w:t>al arbitral en los preceptos</w:t>
      </w:r>
      <w:r w:rsidRPr="008D6D6A">
        <w:rPr>
          <w:rFonts w:ascii="Verdana" w:hAnsi="Verdana" w:cs="Times New Roman"/>
          <w:sz w:val="20"/>
          <w:szCs w:val="20"/>
        </w:rPr>
        <w:t xml:space="preserve"> que</w:t>
      </w:r>
      <w:r w:rsidR="00ED2331" w:rsidRPr="008D6D6A">
        <w:rPr>
          <w:rFonts w:ascii="Verdana" w:hAnsi="Verdana" w:cs="Times New Roman"/>
          <w:sz w:val="20"/>
          <w:szCs w:val="20"/>
        </w:rPr>
        <w:t xml:space="preserve"> anteceden.</w:t>
      </w:r>
      <w:r w:rsidRPr="008D6D6A">
        <w:rPr>
          <w:rFonts w:ascii="Verdana" w:hAnsi="Verdana" w:cs="Times New Roman"/>
          <w:sz w:val="20"/>
          <w:szCs w:val="20"/>
        </w:rPr>
        <w:t xml:space="preserve"> </w:t>
      </w:r>
      <w:r w:rsidR="00ED2331" w:rsidRPr="008D6D6A">
        <w:rPr>
          <w:rFonts w:ascii="Verdana" w:hAnsi="Verdana" w:cs="Times New Roman"/>
          <w:sz w:val="20"/>
          <w:szCs w:val="20"/>
        </w:rPr>
        <w:t>E</w:t>
      </w:r>
      <w:r w:rsidR="009A2E53" w:rsidRPr="008D6D6A">
        <w:rPr>
          <w:rFonts w:ascii="Verdana" w:hAnsi="Verdana" w:cs="Times New Roman"/>
          <w:sz w:val="20"/>
          <w:szCs w:val="20"/>
        </w:rPr>
        <w:t>l precepto que nos ocupa</w:t>
      </w:r>
      <w:r w:rsidRPr="008D6D6A">
        <w:rPr>
          <w:rFonts w:ascii="Verdana" w:hAnsi="Verdana" w:cs="Times New Roman"/>
          <w:sz w:val="20"/>
          <w:szCs w:val="20"/>
        </w:rPr>
        <w:t xml:space="preserve"> faculta al tribunal para aceptar o no las comunicaciones de terceros, en específico de </w:t>
      </w:r>
      <w:r w:rsidRPr="008D6D6A">
        <w:rPr>
          <w:rFonts w:ascii="Verdana" w:hAnsi="Verdana" w:cs="Times New Roman"/>
          <w:i/>
          <w:sz w:val="20"/>
          <w:szCs w:val="20"/>
        </w:rPr>
        <w:t>amicu</w:t>
      </w:r>
      <w:r w:rsidR="00F24DC0" w:rsidRPr="008D6D6A">
        <w:rPr>
          <w:rFonts w:ascii="Verdana" w:hAnsi="Verdana" w:cs="Times New Roman"/>
          <w:i/>
          <w:sz w:val="20"/>
          <w:szCs w:val="20"/>
        </w:rPr>
        <w:t>s</w:t>
      </w:r>
      <w:r w:rsidRPr="008D6D6A">
        <w:rPr>
          <w:rFonts w:ascii="Verdana" w:hAnsi="Verdana" w:cs="Times New Roman"/>
          <w:i/>
          <w:sz w:val="20"/>
          <w:szCs w:val="20"/>
        </w:rPr>
        <w:t xml:space="preserve"> curiae</w:t>
      </w:r>
      <w:r w:rsidR="00780F26" w:rsidRPr="008D6D6A">
        <w:rPr>
          <w:rFonts w:ascii="Verdana" w:hAnsi="Verdana" w:cs="Times New Roman"/>
          <w:sz w:val="20"/>
          <w:szCs w:val="20"/>
        </w:rPr>
        <w:t xml:space="preserve">. Resulta de gran interés que el propio Reglamento </w:t>
      </w:r>
      <w:r w:rsidR="00F55F1B" w:rsidRPr="008D6D6A">
        <w:rPr>
          <w:rFonts w:ascii="Verdana" w:hAnsi="Verdana" w:cs="Times New Roman"/>
          <w:sz w:val="20"/>
          <w:szCs w:val="20"/>
        </w:rPr>
        <w:t xml:space="preserve">sobre la Transparencia </w:t>
      </w:r>
      <w:r w:rsidR="00780F26" w:rsidRPr="008D6D6A">
        <w:rPr>
          <w:rFonts w:ascii="Verdana" w:hAnsi="Verdana" w:cs="Times New Roman"/>
          <w:sz w:val="20"/>
          <w:szCs w:val="20"/>
        </w:rPr>
        <w:t xml:space="preserve">reconozca una única forma de presentación de las comunicaciones presentadas por terceros, </w:t>
      </w:r>
      <w:r w:rsidR="00517D67" w:rsidRPr="008D6D6A">
        <w:rPr>
          <w:rFonts w:ascii="Verdana" w:hAnsi="Verdana" w:cs="Times New Roman"/>
          <w:sz w:val="20"/>
          <w:szCs w:val="20"/>
        </w:rPr>
        <w:t>o sea</w:t>
      </w:r>
      <w:r w:rsidR="00F55F1B" w:rsidRPr="008D6D6A">
        <w:rPr>
          <w:rFonts w:ascii="Verdana" w:hAnsi="Verdana" w:cs="Times New Roman"/>
          <w:sz w:val="20"/>
          <w:szCs w:val="20"/>
        </w:rPr>
        <w:t>,</w:t>
      </w:r>
      <w:r w:rsidR="00517D67" w:rsidRPr="008D6D6A">
        <w:rPr>
          <w:rFonts w:ascii="Verdana" w:hAnsi="Verdana" w:cs="Times New Roman"/>
          <w:sz w:val="20"/>
          <w:szCs w:val="20"/>
        </w:rPr>
        <w:t xml:space="preserve"> solo deben </w:t>
      </w:r>
      <w:r w:rsidRPr="008D6D6A">
        <w:rPr>
          <w:rFonts w:ascii="Verdana" w:hAnsi="Verdana" w:cs="Times New Roman"/>
          <w:sz w:val="20"/>
          <w:szCs w:val="20"/>
        </w:rPr>
        <w:t>efectuar</w:t>
      </w:r>
      <w:r w:rsidR="00C25A2A" w:rsidRPr="008D6D6A">
        <w:rPr>
          <w:rFonts w:ascii="Verdana" w:hAnsi="Verdana" w:cs="Times New Roman"/>
          <w:sz w:val="20"/>
          <w:szCs w:val="20"/>
        </w:rPr>
        <w:t xml:space="preserve">se </w:t>
      </w:r>
      <w:r w:rsidRPr="008D6D6A">
        <w:rPr>
          <w:rFonts w:ascii="Verdana" w:hAnsi="Verdana" w:cs="Times New Roman"/>
          <w:sz w:val="20"/>
          <w:szCs w:val="20"/>
        </w:rPr>
        <w:t>por escrito, sin permitir otra forma de presentación</w:t>
      </w:r>
      <w:r w:rsidR="009E1EF9" w:rsidRPr="008D6D6A">
        <w:rPr>
          <w:rFonts w:ascii="Verdana" w:hAnsi="Verdana" w:cs="Times New Roman"/>
          <w:sz w:val="20"/>
          <w:szCs w:val="20"/>
        </w:rPr>
        <w:t xml:space="preserve">. </w:t>
      </w:r>
      <w:r w:rsidR="00A51C47" w:rsidRPr="008D6D6A">
        <w:rPr>
          <w:rFonts w:ascii="Verdana" w:hAnsi="Verdana" w:cs="Times New Roman"/>
          <w:sz w:val="20"/>
          <w:szCs w:val="20"/>
        </w:rPr>
        <w:t xml:space="preserve">De ahí el carácter restrictivo del </w:t>
      </w:r>
      <w:r w:rsidR="006C1D27" w:rsidRPr="008D6D6A">
        <w:rPr>
          <w:rFonts w:ascii="Verdana" w:hAnsi="Verdana" w:cs="Times New Roman"/>
          <w:sz w:val="20"/>
          <w:szCs w:val="20"/>
        </w:rPr>
        <w:t>precepto.</w:t>
      </w:r>
      <w:r w:rsidR="007015E1" w:rsidRPr="008D6D6A">
        <w:rPr>
          <w:rFonts w:ascii="Verdana" w:hAnsi="Verdana" w:cs="Times New Roman"/>
          <w:sz w:val="20"/>
          <w:szCs w:val="20"/>
        </w:rPr>
        <w:t xml:space="preserve"> </w:t>
      </w:r>
      <w:r w:rsidR="00463F5E" w:rsidRPr="008D6D6A">
        <w:rPr>
          <w:rFonts w:ascii="Verdana" w:hAnsi="Verdana" w:cs="Times New Roman"/>
          <w:sz w:val="20"/>
          <w:szCs w:val="20"/>
        </w:rPr>
        <w:t xml:space="preserve">Ahora bien, aunque </w:t>
      </w:r>
      <w:r w:rsidR="00081B1F" w:rsidRPr="008D6D6A">
        <w:rPr>
          <w:rFonts w:ascii="Verdana" w:hAnsi="Verdana" w:cs="Times New Roman"/>
          <w:sz w:val="20"/>
          <w:szCs w:val="20"/>
        </w:rPr>
        <w:t xml:space="preserve">no </w:t>
      </w:r>
      <w:r w:rsidR="00463F5E" w:rsidRPr="008D6D6A">
        <w:rPr>
          <w:rFonts w:ascii="Verdana" w:hAnsi="Verdana" w:cs="Times New Roman"/>
          <w:sz w:val="20"/>
          <w:szCs w:val="20"/>
        </w:rPr>
        <w:t xml:space="preserve">se </w:t>
      </w:r>
      <w:r w:rsidR="00081B1F" w:rsidRPr="008D6D6A">
        <w:rPr>
          <w:rFonts w:ascii="Verdana" w:hAnsi="Verdana" w:cs="Times New Roman"/>
          <w:sz w:val="20"/>
          <w:szCs w:val="20"/>
        </w:rPr>
        <w:t xml:space="preserve">especifica qué tipo de terceros podrán presentar dichos escritos, </w:t>
      </w:r>
      <w:r w:rsidR="00463F5E" w:rsidRPr="008D6D6A">
        <w:rPr>
          <w:rFonts w:ascii="Verdana" w:hAnsi="Verdana" w:cs="Times New Roman"/>
          <w:sz w:val="20"/>
          <w:szCs w:val="20"/>
        </w:rPr>
        <w:t xml:space="preserve">pensándose que el Reglamento le </w:t>
      </w:r>
      <w:r w:rsidR="00081B1F" w:rsidRPr="008D6D6A">
        <w:rPr>
          <w:rFonts w:ascii="Verdana" w:hAnsi="Verdana" w:cs="Times New Roman"/>
          <w:sz w:val="20"/>
          <w:szCs w:val="20"/>
        </w:rPr>
        <w:t xml:space="preserve">deja las puertas abiertas </w:t>
      </w:r>
      <w:r w:rsidR="00463F5E" w:rsidRPr="008D6D6A">
        <w:rPr>
          <w:rFonts w:ascii="Verdana" w:hAnsi="Verdana" w:cs="Times New Roman"/>
          <w:sz w:val="20"/>
          <w:szCs w:val="20"/>
        </w:rPr>
        <w:t xml:space="preserve">del procedimiento </w:t>
      </w:r>
      <w:r w:rsidR="00081B1F" w:rsidRPr="008D6D6A">
        <w:rPr>
          <w:rFonts w:ascii="Verdana" w:hAnsi="Verdana" w:cs="Times New Roman"/>
          <w:sz w:val="20"/>
          <w:szCs w:val="20"/>
        </w:rPr>
        <w:t xml:space="preserve">a todos los interesados, </w:t>
      </w:r>
      <w:r w:rsidR="00463F5E" w:rsidRPr="008D6D6A">
        <w:rPr>
          <w:rFonts w:ascii="Verdana" w:hAnsi="Verdana" w:cs="Times New Roman"/>
          <w:sz w:val="20"/>
          <w:szCs w:val="20"/>
        </w:rPr>
        <w:t xml:space="preserve">el </w:t>
      </w:r>
      <w:r w:rsidR="00463F5E" w:rsidRPr="008D6D6A">
        <w:rPr>
          <w:rFonts w:ascii="Verdana" w:hAnsi="Verdana" w:cs="Times New Roman"/>
          <w:sz w:val="20"/>
          <w:szCs w:val="20"/>
        </w:rPr>
        <w:lastRenderedPageBreak/>
        <w:t>propio precepto establece una limitación al reconocer que los escritos presentados deben tener relación con la cuestión objeto de la litis, por lo que se presume que solo pueden presentar los escritos aquellos</w:t>
      </w:r>
      <w:r w:rsidR="00081B1F" w:rsidRPr="008D6D6A">
        <w:rPr>
          <w:rFonts w:ascii="Verdana" w:hAnsi="Verdana" w:cs="Times New Roman"/>
          <w:sz w:val="20"/>
          <w:szCs w:val="20"/>
        </w:rPr>
        <w:t xml:space="preserve"> interesados que tengan un interés </w:t>
      </w:r>
      <w:r w:rsidR="00463F5E" w:rsidRPr="008D6D6A">
        <w:rPr>
          <w:rFonts w:ascii="Verdana" w:hAnsi="Verdana" w:cs="Times New Roman"/>
          <w:sz w:val="20"/>
          <w:szCs w:val="20"/>
        </w:rPr>
        <w:t>manifiesto en la controversia</w:t>
      </w:r>
      <w:r w:rsidR="00081B1F" w:rsidRPr="008D6D6A">
        <w:rPr>
          <w:rFonts w:ascii="Verdana" w:hAnsi="Verdana" w:cs="Times New Roman"/>
          <w:sz w:val="20"/>
          <w:szCs w:val="20"/>
        </w:rPr>
        <w:t xml:space="preserve"> o quizás posibles afectados por</w:t>
      </w:r>
      <w:r w:rsidR="00463F5E" w:rsidRPr="008D6D6A">
        <w:rPr>
          <w:rFonts w:ascii="Verdana" w:hAnsi="Verdana" w:cs="Times New Roman"/>
          <w:sz w:val="20"/>
          <w:szCs w:val="20"/>
        </w:rPr>
        <w:t xml:space="preserve"> las consecuencias del litigio.</w:t>
      </w:r>
    </w:p>
    <w:p w:rsidR="005A69AA" w:rsidRPr="008D6D6A" w:rsidRDefault="009E1EF9"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Como consecuencia, </w:t>
      </w:r>
      <w:r w:rsidR="00CA2A05" w:rsidRPr="008D6D6A">
        <w:rPr>
          <w:rFonts w:ascii="Verdana" w:hAnsi="Verdana" w:cs="Times New Roman"/>
          <w:sz w:val="20"/>
          <w:szCs w:val="20"/>
        </w:rPr>
        <w:t xml:space="preserve">terceros ajenos a las </w:t>
      </w:r>
      <w:r w:rsidR="00081B1F" w:rsidRPr="008D6D6A">
        <w:rPr>
          <w:rFonts w:ascii="Verdana" w:hAnsi="Verdana" w:cs="Times New Roman"/>
          <w:sz w:val="20"/>
          <w:szCs w:val="20"/>
        </w:rPr>
        <w:t>P</w:t>
      </w:r>
      <w:r w:rsidR="00CA2A05" w:rsidRPr="008D6D6A">
        <w:rPr>
          <w:rFonts w:ascii="Verdana" w:hAnsi="Verdana" w:cs="Times New Roman"/>
          <w:sz w:val="20"/>
          <w:szCs w:val="20"/>
        </w:rPr>
        <w:t>artes litigantes y al propio tratado</w:t>
      </w:r>
      <w:r w:rsidR="006C1D27" w:rsidRPr="008D6D6A">
        <w:rPr>
          <w:rFonts w:ascii="Verdana" w:hAnsi="Verdana" w:cs="Times New Roman"/>
          <w:sz w:val="20"/>
          <w:szCs w:val="20"/>
        </w:rPr>
        <w:t xml:space="preserve">, </w:t>
      </w:r>
      <w:r w:rsidR="00CB484C" w:rsidRPr="008D6D6A">
        <w:rPr>
          <w:rFonts w:ascii="Verdana" w:hAnsi="Verdana" w:cs="Times New Roman"/>
          <w:sz w:val="20"/>
          <w:szCs w:val="20"/>
        </w:rPr>
        <w:t>no pueden</w:t>
      </w:r>
      <w:r w:rsidR="00CA2A05" w:rsidRPr="008D6D6A">
        <w:rPr>
          <w:rFonts w:ascii="Verdana" w:hAnsi="Verdana" w:cs="Times New Roman"/>
          <w:sz w:val="20"/>
          <w:szCs w:val="20"/>
        </w:rPr>
        <w:t xml:space="preserve"> presentar otras formas de comunicación o participación </w:t>
      </w:r>
      <w:r w:rsidR="00B17EBE" w:rsidRPr="008D6D6A">
        <w:rPr>
          <w:rFonts w:ascii="Verdana" w:hAnsi="Verdana" w:cs="Times New Roman"/>
          <w:sz w:val="20"/>
          <w:szCs w:val="20"/>
        </w:rPr>
        <w:t>durante el procedimiento arbitral</w:t>
      </w:r>
      <w:r w:rsidR="006C1D27" w:rsidRPr="008D6D6A">
        <w:rPr>
          <w:rFonts w:ascii="Verdana" w:hAnsi="Verdana" w:cs="Times New Roman"/>
          <w:sz w:val="20"/>
          <w:szCs w:val="20"/>
        </w:rPr>
        <w:t>,</w:t>
      </w:r>
      <w:r w:rsidR="00CA2A05" w:rsidRPr="008D6D6A">
        <w:rPr>
          <w:rFonts w:ascii="Verdana" w:hAnsi="Verdana" w:cs="Times New Roman"/>
          <w:sz w:val="20"/>
          <w:szCs w:val="20"/>
        </w:rPr>
        <w:t xml:space="preserve"> como puede</w:t>
      </w:r>
      <w:r w:rsidRPr="008D6D6A">
        <w:rPr>
          <w:rFonts w:ascii="Verdana" w:hAnsi="Verdana" w:cs="Times New Roman"/>
          <w:sz w:val="20"/>
          <w:szCs w:val="20"/>
        </w:rPr>
        <w:t>n</w:t>
      </w:r>
      <w:r w:rsidR="00CA2A05" w:rsidRPr="008D6D6A">
        <w:rPr>
          <w:rFonts w:ascii="Verdana" w:hAnsi="Verdana" w:cs="Times New Roman"/>
          <w:sz w:val="20"/>
          <w:szCs w:val="20"/>
        </w:rPr>
        <w:t xml:space="preserve"> ser </w:t>
      </w:r>
      <w:r w:rsidR="00411D53" w:rsidRPr="008D6D6A">
        <w:rPr>
          <w:rFonts w:ascii="Verdana" w:hAnsi="Verdana" w:cs="Times New Roman"/>
          <w:sz w:val="20"/>
          <w:szCs w:val="20"/>
        </w:rPr>
        <w:t xml:space="preserve">la presentación oral y </w:t>
      </w:r>
      <w:r w:rsidR="00CA2A05" w:rsidRPr="008D6D6A">
        <w:rPr>
          <w:rFonts w:ascii="Verdana" w:hAnsi="Verdana" w:cs="Times New Roman"/>
          <w:sz w:val="20"/>
          <w:szCs w:val="20"/>
        </w:rPr>
        <w:t>la participaci</w:t>
      </w:r>
      <w:r w:rsidR="00B17EBE" w:rsidRPr="008D6D6A">
        <w:rPr>
          <w:rFonts w:ascii="Verdana" w:hAnsi="Verdana" w:cs="Times New Roman"/>
          <w:sz w:val="20"/>
          <w:szCs w:val="20"/>
        </w:rPr>
        <w:t xml:space="preserve">ón en audiencias. </w:t>
      </w:r>
      <w:r w:rsidR="00CB484C" w:rsidRPr="008D6D6A">
        <w:rPr>
          <w:rFonts w:ascii="Verdana" w:hAnsi="Verdana" w:cs="Times New Roman"/>
          <w:sz w:val="20"/>
          <w:szCs w:val="20"/>
        </w:rPr>
        <w:t>¿Acaso esta prohibici</w:t>
      </w:r>
      <w:r w:rsidR="00413689" w:rsidRPr="008D6D6A">
        <w:rPr>
          <w:rFonts w:ascii="Verdana" w:hAnsi="Verdana" w:cs="Times New Roman"/>
          <w:sz w:val="20"/>
          <w:szCs w:val="20"/>
        </w:rPr>
        <w:t>ón</w:t>
      </w:r>
      <w:r w:rsidR="0049360F" w:rsidRPr="008D6D6A">
        <w:rPr>
          <w:rFonts w:ascii="Verdana" w:hAnsi="Verdana" w:cs="Times New Roman"/>
          <w:sz w:val="20"/>
          <w:szCs w:val="20"/>
        </w:rPr>
        <w:t xml:space="preserve"> no</w:t>
      </w:r>
      <w:r w:rsidR="00CB484C" w:rsidRPr="008D6D6A">
        <w:rPr>
          <w:rFonts w:ascii="Verdana" w:hAnsi="Verdana" w:cs="Times New Roman"/>
          <w:sz w:val="20"/>
          <w:szCs w:val="20"/>
        </w:rPr>
        <w:t xml:space="preserve"> reduce los objetivos de transparencia del presente Reglamento</w:t>
      </w:r>
      <w:r w:rsidR="00081B1F" w:rsidRPr="008D6D6A">
        <w:rPr>
          <w:rFonts w:ascii="Verdana" w:hAnsi="Verdana" w:cs="Times New Roman"/>
          <w:sz w:val="20"/>
          <w:szCs w:val="20"/>
        </w:rPr>
        <w:t xml:space="preserve"> incidiendo en el procedimiento arbi</w:t>
      </w:r>
      <w:r w:rsidR="00A64172" w:rsidRPr="008D6D6A">
        <w:rPr>
          <w:rFonts w:ascii="Verdana" w:hAnsi="Verdana" w:cs="Times New Roman"/>
          <w:sz w:val="20"/>
          <w:szCs w:val="20"/>
        </w:rPr>
        <w:t>tral?</w:t>
      </w:r>
      <w:r w:rsidR="00FC3B1E" w:rsidRPr="008D6D6A">
        <w:rPr>
          <w:rFonts w:ascii="Verdana" w:hAnsi="Verdana" w:cs="Times New Roman"/>
          <w:sz w:val="20"/>
          <w:szCs w:val="20"/>
        </w:rPr>
        <w:t xml:space="preserve"> </w:t>
      </w:r>
      <w:r w:rsidR="00A64172" w:rsidRPr="008D6D6A">
        <w:rPr>
          <w:rFonts w:ascii="Verdana" w:hAnsi="Verdana" w:cs="Times New Roman"/>
          <w:sz w:val="20"/>
          <w:szCs w:val="20"/>
        </w:rPr>
        <w:t>R</w:t>
      </w:r>
      <w:r w:rsidR="00FC3B1E" w:rsidRPr="008D6D6A">
        <w:rPr>
          <w:rFonts w:ascii="Verdana" w:hAnsi="Verdana" w:cs="Times New Roman"/>
          <w:sz w:val="20"/>
          <w:szCs w:val="20"/>
        </w:rPr>
        <w:t xml:space="preserve">esulta evidente que el no reconocimiento de otras formas de participación de los </w:t>
      </w:r>
      <w:r w:rsidR="005F71CA" w:rsidRPr="008D6D6A">
        <w:rPr>
          <w:rFonts w:ascii="Verdana" w:hAnsi="Verdana" w:cs="Times New Roman"/>
          <w:i/>
          <w:sz w:val="20"/>
          <w:szCs w:val="20"/>
        </w:rPr>
        <w:t>amicus curi</w:t>
      </w:r>
      <w:r w:rsidR="00FC3B1E" w:rsidRPr="008D6D6A">
        <w:rPr>
          <w:rFonts w:ascii="Verdana" w:hAnsi="Verdana" w:cs="Times New Roman"/>
          <w:i/>
          <w:sz w:val="20"/>
          <w:szCs w:val="20"/>
        </w:rPr>
        <w:t>a</w:t>
      </w:r>
      <w:r w:rsidR="005F71CA" w:rsidRPr="008D6D6A">
        <w:rPr>
          <w:rFonts w:ascii="Verdana" w:hAnsi="Verdana" w:cs="Times New Roman"/>
          <w:i/>
          <w:sz w:val="20"/>
          <w:szCs w:val="20"/>
        </w:rPr>
        <w:t>e</w:t>
      </w:r>
      <w:r w:rsidR="00FC3B1E" w:rsidRPr="008D6D6A">
        <w:rPr>
          <w:rFonts w:ascii="Verdana" w:hAnsi="Verdana" w:cs="Times New Roman"/>
          <w:sz w:val="20"/>
          <w:szCs w:val="20"/>
        </w:rPr>
        <w:t xml:space="preserve">, contrarresta en gran medida, tanto el contenido como los objetivos propuesto por el Reglamento para la consecución de la transparencia </w:t>
      </w:r>
      <w:r w:rsidR="00B17EBE" w:rsidRPr="008D6D6A">
        <w:rPr>
          <w:rFonts w:ascii="Verdana" w:hAnsi="Verdana" w:cs="Times New Roman"/>
          <w:sz w:val="20"/>
          <w:szCs w:val="20"/>
        </w:rPr>
        <w:t>en el arbitraje de inversiones</w:t>
      </w:r>
      <w:r w:rsidR="00413689" w:rsidRPr="008D6D6A">
        <w:rPr>
          <w:rFonts w:ascii="Verdana" w:hAnsi="Verdana" w:cs="Times New Roman"/>
          <w:sz w:val="20"/>
          <w:szCs w:val="20"/>
        </w:rPr>
        <w:t xml:space="preserve">. </w:t>
      </w:r>
    </w:p>
    <w:p w:rsidR="00413689" w:rsidRPr="008D6D6A" w:rsidRDefault="009E1EF9"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Creemos que </w:t>
      </w:r>
      <w:r w:rsidR="00B17EBE" w:rsidRPr="008D6D6A">
        <w:rPr>
          <w:rFonts w:ascii="Verdana" w:hAnsi="Verdana" w:cs="Times New Roman"/>
          <w:sz w:val="20"/>
          <w:szCs w:val="20"/>
        </w:rPr>
        <w:t>el Reglamento,</w:t>
      </w:r>
      <w:r w:rsidR="0049360F" w:rsidRPr="008D6D6A">
        <w:rPr>
          <w:rFonts w:ascii="Verdana" w:hAnsi="Verdana" w:cs="Times New Roman"/>
          <w:sz w:val="20"/>
          <w:szCs w:val="20"/>
        </w:rPr>
        <w:t xml:space="preserve"> a diferencia de otras normas o reglas arbitrales,</w:t>
      </w:r>
      <w:r w:rsidRPr="008D6D6A">
        <w:rPr>
          <w:rFonts w:ascii="Verdana" w:hAnsi="Verdana" w:cs="Times New Roman"/>
          <w:sz w:val="20"/>
          <w:szCs w:val="20"/>
        </w:rPr>
        <w:t xml:space="preserve"> pudo haber</w:t>
      </w:r>
      <w:r w:rsidR="00F24DC0" w:rsidRPr="008D6D6A">
        <w:rPr>
          <w:rFonts w:ascii="Verdana" w:hAnsi="Verdana" w:cs="Times New Roman"/>
          <w:sz w:val="20"/>
          <w:szCs w:val="20"/>
        </w:rPr>
        <w:t xml:space="preserve"> sido</w:t>
      </w:r>
      <w:r w:rsidR="00B17EBE" w:rsidRPr="008D6D6A">
        <w:rPr>
          <w:rFonts w:ascii="Verdana" w:hAnsi="Verdana" w:cs="Times New Roman"/>
          <w:sz w:val="20"/>
          <w:szCs w:val="20"/>
        </w:rPr>
        <w:t xml:space="preserve"> la </w:t>
      </w:r>
      <w:r w:rsidR="00DE7BE4" w:rsidRPr="008D6D6A">
        <w:rPr>
          <w:rFonts w:ascii="Verdana" w:hAnsi="Verdana" w:cs="Times New Roman"/>
          <w:sz w:val="20"/>
          <w:szCs w:val="20"/>
        </w:rPr>
        <w:t>norma idónea</w:t>
      </w:r>
      <w:r w:rsidR="0016012E" w:rsidRPr="008D6D6A">
        <w:rPr>
          <w:rFonts w:ascii="Verdana" w:hAnsi="Verdana" w:cs="Times New Roman"/>
          <w:sz w:val="20"/>
          <w:szCs w:val="20"/>
        </w:rPr>
        <w:t xml:space="preserve"> para</w:t>
      </w:r>
      <w:r w:rsidR="00B17EBE" w:rsidRPr="008D6D6A">
        <w:rPr>
          <w:rFonts w:ascii="Verdana" w:hAnsi="Verdana" w:cs="Times New Roman"/>
          <w:sz w:val="20"/>
          <w:szCs w:val="20"/>
        </w:rPr>
        <w:t xml:space="preserve"> recono</w:t>
      </w:r>
      <w:r w:rsidR="0016012E" w:rsidRPr="008D6D6A">
        <w:rPr>
          <w:rFonts w:ascii="Verdana" w:hAnsi="Verdana" w:cs="Times New Roman"/>
          <w:sz w:val="20"/>
          <w:szCs w:val="20"/>
        </w:rPr>
        <w:t>cer</w:t>
      </w:r>
      <w:r w:rsidR="00B17EBE" w:rsidRPr="008D6D6A">
        <w:rPr>
          <w:rFonts w:ascii="Verdana" w:hAnsi="Verdana" w:cs="Times New Roman"/>
          <w:sz w:val="20"/>
          <w:szCs w:val="20"/>
        </w:rPr>
        <w:t xml:space="preserve"> la obligatoriedad de otras formas de participación de los </w:t>
      </w:r>
      <w:r w:rsidR="00B17EBE" w:rsidRPr="008D6D6A">
        <w:rPr>
          <w:rFonts w:ascii="Verdana" w:hAnsi="Verdana" w:cs="Times New Roman"/>
          <w:i/>
          <w:sz w:val="20"/>
          <w:szCs w:val="20"/>
        </w:rPr>
        <w:t>amicus curiae</w:t>
      </w:r>
      <w:r w:rsidR="00B17EBE" w:rsidRPr="008D6D6A">
        <w:rPr>
          <w:rFonts w:ascii="Verdana" w:hAnsi="Verdana" w:cs="Times New Roman"/>
          <w:sz w:val="20"/>
          <w:szCs w:val="20"/>
        </w:rPr>
        <w:t xml:space="preserve"> en el procedimiento arbitral y que favoreciera, de </w:t>
      </w:r>
      <w:r w:rsidR="00DE7BE4" w:rsidRPr="008D6D6A">
        <w:rPr>
          <w:rFonts w:ascii="Verdana" w:hAnsi="Verdana" w:cs="Times New Roman"/>
          <w:sz w:val="20"/>
          <w:szCs w:val="20"/>
        </w:rPr>
        <w:t>esta</w:t>
      </w:r>
      <w:r w:rsidR="00F06189">
        <w:rPr>
          <w:rFonts w:ascii="Verdana" w:hAnsi="Verdana" w:cs="Times New Roman"/>
          <w:sz w:val="20"/>
          <w:szCs w:val="20"/>
        </w:rPr>
        <w:t xml:space="preserve"> manera</w:t>
      </w:r>
      <w:r w:rsidR="00DE7BE4" w:rsidRPr="008D6D6A">
        <w:rPr>
          <w:rFonts w:ascii="Verdana" w:hAnsi="Verdana" w:cs="Times New Roman"/>
          <w:sz w:val="20"/>
          <w:szCs w:val="20"/>
        </w:rPr>
        <w:t xml:space="preserve"> -estando en </w:t>
      </w:r>
      <w:r w:rsidRPr="008D6D6A">
        <w:rPr>
          <w:rFonts w:ascii="Verdana" w:hAnsi="Verdana" w:cs="Times New Roman"/>
          <w:sz w:val="20"/>
          <w:szCs w:val="20"/>
        </w:rPr>
        <w:t xml:space="preserve">consonancia con la </w:t>
      </w:r>
      <w:r w:rsidR="00DE7BE4" w:rsidRPr="008D6D6A">
        <w:rPr>
          <w:rFonts w:ascii="Verdana" w:hAnsi="Verdana" w:cs="Times New Roman"/>
          <w:sz w:val="20"/>
          <w:szCs w:val="20"/>
        </w:rPr>
        <w:t>propia Resolución que aprueba el Reglamento</w:t>
      </w:r>
      <w:r w:rsidR="0049360F" w:rsidRPr="008D6D6A">
        <w:rPr>
          <w:rFonts w:ascii="Verdana" w:hAnsi="Verdana" w:cs="Times New Roman"/>
          <w:sz w:val="20"/>
          <w:szCs w:val="20"/>
        </w:rPr>
        <w:t xml:space="preserve"> sobre la Transparencia</w:t>
      </w:r>
      <w:r w:rsidR="00DE7BE4" w:rsidRPr="008D6D6A">
        <w:rPr>
          <w:rFonts w:ascii="Verdana" w:hAnsi="Verdana" w:cs="Times New Roman"/>
          <w:sz w:val="20"/>
          <w:szCs w:val="20"/>
        </w:rPr>
        <w:t xml:space="preserve"> y</w:t>
      </w:r>
      <w:r w:rsidR="00E7426E" w:rsidRPr="008D6D6A">
        <w:rPr>
          <w:rFonts w:ascii="Verdana" w:hAnsi="Verdana" w:cs="Times New Roman"/>
          <w:sz w:val="20"/>
          <w:szCs w:val="20"/>
        </w:rPr>
        <w:t xml:space="preserve"> la Convención</w:t>
      </w:r>
      <w:r w:rsidR="00DE7BE4" w:rsidRPr="008D6D6A">
        <w:rPr>
          <w:rFonts w:ascii="Verdana" w:hAnsi="Verdana" w:cs="Times New Roman"/>
          <w:sz w:val="20"/>
          <w:szCs w:val="20"/>
        </w:rPr>
        <w:t xml:space="preserve"> de Mauricio</w:t>
      </w:r>
      <w:r w:rsidR="00DE7BE4" w:rsidRPr="008D6D6A">
        <w:rPr>
          <w:rStyle w:val="Refdenotaalpie"/>
          <w:rFonts w:ascii="Verdana" w:hAnsi="Verdana" w:cs="Times New Roman"/>
          <w:sz w:val="20"/>
          <w:szCs w:val="20"/>
        </w:rPr>
        <w:footnoteReference w:id="84"/>
      </w:r>
      <w:r w:rsidR="00DE7BE4" w:rsidRPr="008D6D6A">
        <w:rPr>
          <w:rFonts w:ascii="Verdana" w:hAnsi="Verdana" w:cs="Times New Roman"/>
          <w:sz w:val="20"/>
          <w:szCs w:val="20"/>
        </w:rPr>
        <w:t>-</w:t>
      </w:r>
      <w:r w:rsidRPr="008D6D6A">
        <w:rPr>
          <w:rFonts w:ascii="Verdana" w:hAnsi="Verdana" w:cs="Times New Roman"/>
          <w:sz w:val="20"/>
          <w:szCs w:val="20"/>
        </w:rPr>
        <w:t>,</w:t>
      </w:r>
      <w:r w:rsidR="0016012E" w:rsidRPr="008D6D6A">
        <w:rPr>
          <w:rFonts w:ascii="Verdana" w:hAnsi="Verdana" w:cs="Times New Roman"/>
          <w:sz w:val="20"/>
          <w:szCs w:val="20"/>
        </w:rPr>
        <w:t xml:space="preserve"> </w:t>
      </w:r>
      <w:r w:rsidR="002D33EC" w:rsidRPr="008D6D6A">
        <w:rPr>
          <w:rFonts w:ascii="Verdana" w:hAnsi="Verdana" w:cs="Times New Roman"/>
          <w:sz w:val="20"/>
          <w:szCs w:val="20"/>
        </w:rPr>
        <w:t xml:space="preserve">a </w:t>
      </w:r>
      <w:r w:rsidR="0016012E" w:rsidRPr="008D6D6A">
        <w:rPr>
          <w:rFonts w:ascii="Verdana" w:hAnsi="Verdana" w:cs="Times New Roman"/>
          <w:sz w:val="20"/>
          <w:szCs w:val="20"/>
        </w:rPr>
        <w:t>la armonización del</w:t>
      </w:r>
      <w:r w:rsidR="00B17EBE" w:rsidRPr="008D6D6A">
        <w:rPr>
          <w:rFonts w:ascii="Verdana" w:hAnsi="Verdana" w:cs="Times New Roman"/>
          <w:sz w:val="20"/>
          <w:szCs w:val="20"/>
        </w:rPr>
        <w:t xml:space="preserve"> mar</w:t>
      </w:r>
      <w:r w:rsidR="002267EC" w:rsidRPr="008D6D6A">
        <w:rPr>
          <w:rFonts w:ascii="Verdana" w:hAnsi="Verdana" w:cs="Times New Roman"/>
          <w:sz w:val="20"/>
          <w:szCs w:val="20"/>
        </w:rPr>
        <w:t xml:space="preserve">co legal internacional para la resolución del arbitraje de inversiones y, añadiríamos, </w:t>
      </w:r>
      <w:r w:rsidR="003B7251" w:rsidRPr="008D6D6A">
        <w:rPr>
          <w:rFonts w:ascii="Verdana" w:hAnsi="Verdana" w:cs="Times New Roman"/>
          <w:sz w:val="20"/>
          <w:szCs w:val="20"/>
        </w:rPr>
        <w:t>de</w:t>
      </w:r>
      <w:r w:rsidR="00413689" w:rsidRPr="008D6D6A">
        <w:rPr>
          <w:rFonts w:ascii="Verdana" w:hAnsi="Verdana" w:cs="Times New Roman"/>
          <w:sz w:val="20"/>
          <w:szCs w:val="20"/>
        </w:rPr>
        <w:t xml:space="preserve"> </w:t>
      </w:r>
      <w:r w:rsidR="00B17EBE" w:rsidRPr="008D6D6A">
        <w:rPr>
          <w:rFonts w:ascii="Verdana" w:hAnsi="Verdana" w:cs="Times New Roman"/>
          <w:sz w:val="20"/>
          <w:szCs w:val="20"/>
        </w:rPr>
        <w:t xml:space="preserve">la participación de terceros no partes en el procedimiento arbitral. </w:t>
      </w:r>
    </w:p>
    <w:p w:rsidR="00764ECC" w:rsidRPr="008D6D6A" w:rsidRDefault="0016012E"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Pese a todo</w:t>
      </w:r>
      <w:r w:rsidR="007D3492" w:rsidRPr="008D6D6A">
        <w:rPr>
          <w:rFonts w:ascii="Verdana" w:hAnsi="Verdana" w:cs="Times New Roman"/>
          <w:sz w:val="20"/>
          <w:szCs w:val="20"/>
        </w:rPr>
        <w:t xml:space="preserve">, consideramos que los efectos </w:t>
      </w:r>
      <w:r w:rsidRPr="008D6D6A">
        <w:rPr>
          <w:rFonts w:ascii="Verdana" w:hAnsi="Verdana" w:cs="Times New Roman"/>
          <w:sz w:val="20"/>
          <w:szCs w:val="20"/>
        </w:rPr>
        <w:t xml:space="preserve">prácticos </w:t>
      </w:r>
      <w:r w:rsidR="007D3492" w:rsidRPr="008D6D6A">
        <w:rPr>
          <w:rFonts w:ascii="Verdana" w:hAnsi="Verdana" w:cs="Times New Roman"/>
          <w:sz w:val="20"/>
          <w:szCs w:val="20"/>
        </w:rPr>
        <w:t xml:space="preserve">que tendría el no reconocimiento de otras formas de participación de los </w:t>
      </w:r>
      <w:r w:rsidR="007D3492" w:rsidRPr="008D6D6A">
        <w:rPr>
          <w:rFonts w:ascii="Verdana" w:hAnsi="Verdana" w:cs="Times New Roman"/>
          <w:i/>
          <w:sz w:val="20"/>
          <w:szCs w:val="20"/>
        </w:rPr>
        <w:t>amicus</w:t>
      </w:r>
      <w:r w:rsidRPr="008D6D6A">
        <w:rPr>
          <w:rFonts w:ascii="Verdana" w:hAnsi="Verdana" w:cs="Times New Roman"/>
          <w:sz w:val="20"/>
          <w:szCs w:val="20"/>
        </w:rPr>
        <w:t xml:space="preserve"> en el procedimiento son </w:t>
      </w:r>
      <w:r w:rsidR="005E53C6" w:rsidRPr="008D6D6A">
        <w:rPr>
          <w:rFonts w:ascii="Verdana" w:hAnsi="Verdana" w:cs="Times New Roman"/>
          <w:sz w:val="20"/>
          <w:szCs w:val="20"/>
        </w:rPr>
        <w:t>más bien</w:t>
      </w:r>
      <w:r w:rsidR="007D3492" w:rsidRPr="008D6D6A">
        <w:rPr>
          <w:rFonts w:ascii="Verdana" w:hAnsi="Verdana" w:cs="Times New Roman"/>
          <w:sz w:val="20"/>
          <w:szCs w:val="20"/>
        </w:rPr>
        <w:t xml:space="preserve"> escasos,</w:t>
      </w:r>
      <w:r w:rsidR="005E53C6" w:rsidRPr="008D6D6A">
        <w:rPr>
          <w:rFonts w:ascii="Verdana" w:hAnsi="Verdana" w:cs="Times New Roman"/>
          <w:sz w:val="20"/>
          <w:szCs w:val="20"/>
        </w:rPr>
        <w:t xml:space="preserve"> o incluso</w:t>
      </w:r>
      <w:r w:rsidR="007D3492" w:rsidRPr="008D6D6A">
        <w:rPr>
          <w:rFonts w:ascii="Verdana" w:hAnsi="Verdana" w:cs="Times New Roman"/>
          <w:sz w:val="20"/>
          <w:szCs w:val="20"/>
        </w:rPr>
        <w:t xml:space="preserve"> prácticamente </w:t>
      </w:r>
      <w:r w:rsidR="0099479D" w:rsidRPr="008D6D6A">
        <w:rPr>
          <w:rFonts w:ascii="Verdana" w:hAnsi="Verdana" w:cs="Times New Roman"/>
          <w:sz w:val="20"/>
          <w:szCs w:val="20"/>
        </w:rPr>
        <w:t>nulos, dependiendo</w:t>
      </w:r>
      <w:r w:rsidR="005A69AA" w:rsidRPr="008D6D6A">
        <w:rPr>
          <w:rFonts w:ascii="Verdana" w:hAnsi="Verdana" w:cs="Times New Roman"/>
          <w:sz w:val="20"/>
          <w:szCs w:val="20"/>
        </w:rPr>
        <w:t>,</w:t>
      </w:r>
      <w:r w:rsidR="0099479D" w:rsidRPr="008D6D6A">
        <w:rPr>
          <w:rFonts w:ascii="Verdana" w:hAnsi="Verdana" w:cs="Times New Roman"/>
          <w:sz w:val="20"/>
          <w:szCs w:val="20"/>
        </w:rPr>
        <w:t xml:space="preserve"> en gran medida</w:t>
      </w:r>
      <w:r w:rsidR="005A69AA" w:rsidRPr="008D6D6A">
        <w:rPr>
          <w:rFonts w:ascii="Verdana" w:hAnsi="Verdana" w:cs="Times New Roman"/>
          <w:sz w:val="20"/>
          <w:szCs w:val="20"/>
        </w:rPr>
        <w:t>,</w:t>
      </w:r>
      <w:r w:rsidR="0099479D" w:rsidRPr="008D6D6A">
        <w:rPr>
          <w:rFonts w:ascii="Verdana" w:hAnsi="Verdana" w:cs="Times New Roman"/>
          <w:sz w:val="20"/>
          <w:szCs w:val="20"/>
        </w:rPr>
        <w:t xml:space="preserve"> de las reglas que rigen el arbitraje. </w:t>
      </w:r>
      <w:r w:rsidR="005A69AA" w:rsidRPr="008D6D6A">
        <w:rPr>
          <w:rFonts w:ascii="Verdana" w:hAnsi="Verdana" w:cs="Times New Roman"/>
          <w:sz w:val="20"/>
          <w:szCs w:val="20"/>
        </w:rPr>
        <w:t>Es decir, m</w:t>
      </w:r>
      <w:r w:rsidR="0099479D" w:rsidRPr="008D6D6A">
        <w:rPr>
          <w:rFonts w:ascii="Verdana" w:hAnsi="Verdana" w:cs="Times New Roman"/>
          <w:sz w:val="20"/>
          <w:szCs w:val="20"/>
        </w:rPr>
        <w:t>ientras</w:t>
      </w:r>
      <w:r w:rsidR="002267EC" w:rsidRPr="008D6D6A">
        <w:rPr>
          <w:rFonts w:ascii="Verdana" w:hAnsi="Verdana" w:cs="Times New Roman"/>
          <w:sz w:val="20"/>
          <w:szCs w:val="20"/>
        </w:rPr>
        <w:t xml:space="preserve"> que</w:t>
      </w:r>
      <w:r w:rsidR="0099479D" w:rsidRPr="008D6D6A">
        <w:rPr>
          <w:rFonts w:ascii="Verdana" w:hAnsi="Verdana" w:cs="Times New Roman"/>
          <w:sz w:val="20"/>
          <w:szCs w:val="20"/>
        </w:rPr>
        <w:t xml:space="preserve"> el Reglamento sobre </w:t>
      </w:r>
      <w:r w:rsidRPr="008D6D6A">
        <w:rPr>
          <w:rFonts w:ascii="Verdana" w:hAnsi="Verdana" w:cs="Times New Roman"/>
          <w:sz w:val="20"/>
          <w:szCs w:val="20"/>
        </w:rPr>
        <w:t xml:space="preserve">la </w:t>
      </w:r>
      <w:r w:rsidR="0099479D" w:rsidRPr="008D6D6A">
        <w:rPr>
          <w:rFonts w:ascii="Verdana" w:hAnsi="Verdana" w:cs="Times New Roman"/>
          <w:sz w:val="20"/>
          <w:szCs w:val="20"/>
        </w:rPr>
        <w:t>Transparencia</w:t>
      </w:r>
      <w:r w:rsidR="00044EF5" w:rsidRPr="008D6D6A">
        <w:rPr>
          <w:rFonts w:ascii="Verdana" w:hAnsi="Verdana" w:cs="Times New Roman"/>
          <w:sz w:val="20"/>
          <w:szCs w:val="20"/>
        </w:rPr>
        <w:t xml:space="preserve"> </w:t>
      </w:r>
      <w:r w:rsidR="003B7251" w:rsidRPr="008D6D6A">
        <w:rPr>
          <w:rFonts w:ascii="Verdana" w:hAnsi="Verdana" w:cs="Times New Roman"/>
          <w:sz w:val="20"/>
          <w:szCs w:val="20"/>
        </w:rPr>
        <w:t xml:space="preserve">restringe la forma de participar de terceros en el </w:t>
      </w:r>
      <w:r w:rsidR="0099479D" w:rsidRPr="008D6D6A">
        <w:rPr>
          <w:rFonts w:ascii="Verdana" w:hAnsi="Verdana" w:cs="Times New Roman"/>
          <w:sz w:val="20"/>
          <w:szCs w:val="20"/>
        </w:rPr>
        <w:t>procedimiento arbitral, las Reglas de Arbitraje de la CNUDMI</w:t>
      </w:r>
      <w:r w:rsidR="003B7251" w:rsidRPr="008D6D6A">
        <w:rPr>
          <w:rFonts w:ascii="Verdana" w:hAnsi="Verdana" w:cs="Times New Roman"/>
          <w:sz w:val="20"/>
          <w:szCs w:val="20"/>
        </w:rPr>
        <w:t xml:space="preserve"> </w:t>
      </w:r>
      <w:r w:rsidR="0099479D" w:rsidRPr="008D6D6A">
        <w:rPr>
          <w:rFonts w:ascii="Verdana" w:hAnsi="Verdana" w:cs="Times New Roman"/>
          <w:sz w:val="20"/>
          <w:szCs w:val="20"/>
        </w:rPr>
        <w:t>permite</w:t>
      </w:r>
      <w:r w:rsidR="00044EF5" w:rsidRPr="008D6D6A">
        <w:rPr>
          <w:rFonts w:ascii="Verdana" w:hAnsi="Verdana" w:cs="Times New Roman"/>
          <w:sz w:val="20"/>
          <w:szCs w:val="20"/>
        </w:rPr>
        <w:t>n</w:t>
      </w:r>
      <w:r w:rsidR="0099479D" w:rsidRPr="008D6D6A">
        <w:rPr>
          <w:rFonts w:ascii="Verdana" w:hAnsi="Verdana" w:cs="Times New Roman"/>
          <w:sz w:val="20"/>
          <w:szCs w:val="20"/>
        </w:rPr>
        <w:t xml:space="preserve"> a</w:t>
      </w:r>
      <w:r w:rsidR="002267EC" w:rsidRPr="008D6D6A">
        <w:rPr>
          <w:rFonts w:ascii="Verdana" w:hAnsi="Verdana" w:cs="Times New Roman"/>
          <w:sz w:val="20"/>
          <w:szCs w:val="20"/>
        </w:rPr>
        <w:t xml:space="preserve"> los tribunales, </w:t>
      </w:r>
      <w:r w:rsidR="005E53C6" w:rsidRPr="008D6D6A">
        <w:rPr>
          <w:rFonts w:ascii="Verdana" w:hAnsi="Verdana" w:cs="Times New Roman"/>
          <w:sz w:val="20"/>
          <w:szCs w:val="20"/>
        </w:rPr>
        <w:t>discrecionalmente</w:t>
      </w:r>
      <w:r w:rsidR="00B1349E" w:rsidRPr="008D6D6A">
        <w:rPr>
          <w:rFonts w:ascii="Verdana" w:hAnsi="Verdana" w:cs="Times New Roman"/>
          <w:sz w:val="20"/>
          <w:szCs w:val="20"/>
        </w:rPr>
        <w:t>,</w:t>
      </w:r>
      <w:r w:rsidR="005E53C6" w:rsidRPr="008D6D6A">
        <w:rPr>
          <w:rFonts w:ascii="Verdana" w:hAnsi="Verdana" w:cs="Times New Roman"/>
          <w:sz w:val="20"/>
          <w:szCs w:val="20"/>
        </w:rPr>
        <w:t xml:space="preserve"> </w:t>
      </w:r>
      <w:r w:rsidR="005A69AA" w:rsidRPr="008D6D6A">
        <w:rPr>
          <w:rFonts w:ascii="Verdana" w:hAnsi="Verdana" w:cs="Times New Roman"/>
          <w:sz w:val="20"/>
          <w:szCs w:val="20"/>
        </w:rPr>
        <w:t>aceptar otras formas de participación</w:t>
      </w:r>
      <w:r w:rsidR="002267EC" w:rsidRPr="008D6D6A">
        <w:rPr>
          <w:rStyle w:val="Refdenotaalpie"/>
          <w:rFonts w:ascii="Verdana" w:hAnsi="Verdana" w:cs="Times New Roman"/>
          <w:sz w:val="20"/>
          <w:szCs w:val="20"/>
        </w:rPr>
        <w:footnoteReference w:id="85"/>
      </w:r>
      <w:r w:rsidR="00044EF5" w:rsidRPr="008D6D6A">
        <w:rPr>
          <w:rFonts w:ascii="Verdana" w:hAnsi="Verdana" w:cs="Times New Roman"/>
          <w:sz w:val="20"/>
          <w:szCs w:val="20"/>
        </w:rPr>
        <w:t>.</w:t>
      </w:r>
      <w:r w:rsidR="00764ECC" w:rsidRPr="008D6D6A">
        <w:rPr>
          <w:rFonts w:ascii="Verdana" w:hAnsi="Verdana" w:cs="Times New Roman"/>
          <w:sz w:val="20"/>
          <w:szCs w:val="20"/>
        </w:rPr>
        <w:t xml:space="preserve"> No </w:t>
      </w:r>
      <w:r w:rsidR="002F17B7" w:rsidRPr="008D6D6A">
        <w:rPr>
          <w:rFonts w:ascii="Verdana" w:hAnsi="Verdana" w:cs="Times New Roman"/>
          <w:sz w:val="20"/>
          <w:szCs w:val="20"/>
        </w:rPr>
        <w:t>obstante</w:t>
      </w:r>
      <w:r w:rsidR="00764ECC" w:rsidRPr="008D6D6A">
        <w:rPr>
          <w:rFonts w:ascii="Verdana" w:hAnsi="Verdana" w:cs="Times New Roman"/>
          <w:sz w:val="20"/>
          <w:szCs w:val="20"/>
        </w:rPr>
        <w:t>, e</w:t>
      </w:r>
      <w:r w:rsidR="00942D79" w:rsidRPr="008D6D6A">
        <w:rPr>
          <w:rFonts w:ascii="Verdana" w:hAnsi="Verdana" w:cs="Times New Roman"/>
          <w:sz w:val="20"/>
          <w:szCs w:val="20"/>
        </w:rPr>
        <w:t xml:space="preserve">l propio artículo regula los procedimientos, </w:t>
      </w:r>
      <w:r w:rsidR="005E53C6" w:rsidRPr="008D6D6A">
        <w:rPr>
          <w:rFonts w:ascii="Verdana" w:hAnsi="Verdana" w:cs="Times New Roman"/>
          <w:sz w:val="20"/>
          <w:szCs w:val="20"/>
        </w:rPr>
        <w:t>los criterios que deben orientar</w:t>
      </w:r>
      <w:r w:rsidR="008E1372" w:rsidRPr="008D6D6A">
        <w:rPr>
          <w:rFonts w:ascii="Verdana" w:hAnsi="Verdana" w:cs="Times New Roman"/>
          <w:sz w:val="20"/>
          <w:szCs w:val="20"/>
        </w:rPr>
        <w:t xml:space="preserve"> la decisión del tribunal sobre si autorizar o no la presentación de </w:t>
      </w:r>
      <w:r w:rsidR="008E1372" w:rsidRPr="008D6D6A">
        <w:rPr>
          <w:rFonts w:ascii="Verdana" w:hAnsi="Verdana" w:cs="Times New Roman"/>
          <w:i/>
          <w:sz w:val="20"/>
          <w:szCs w:val="20"/>
        </w:rPr>
        <w:t>amicus</w:t>
      </w:r>
      <w:r w:rsidR="00942D79" w:rsidRPr="008D6D6A">
        <w:rPr>
          <w:rFonts w:ascii="Verdana" w:hAnsi="Verdana" w:cs="Times New Roman"/>
          <w:sz w:val="20"/>
          <w:szCs w:val="20"/>
        </w:rPr>
        <w:t xml:space="preserve"> </w:t>
      </w:r>
      <w:r w:rsidR="00942D79" w:rsidRPr="008D6D6A">
        <w:rPr>
          <w:rFonts w:ascii="Verdana" w:hAnsi="Verdana" w:cs="Times New Roman"/>
          <w:i/>
          <w:sz w:val="20"/>
          <w:szCs w:val="20"/>
        </w:rPr>
        <w:t>curiae</w:t>
      </w:r>
      <w:r w:rsidR="00942D79" w:rsidRPr="008D6D6A">
        <w:rPr>
          <w:rFonts w:ascii="Verdana" w:hAnsi="Verdana" w:cs="Times New Roman"/>
          <w:sz w:val="20"/>
          <w:szCs w:val="20"/>
        </w:rPr>
        <w:t xml:space="preserve"> y</w:t>
      </w:r>
      <w:r w:rsidR="008E1372" w:rsidRPr="008D6D6A">
        <w:rPr>
          <w:rFonts w:ascii="Verdana" w:hAnsi="Verdana" w:cs="Times New Roman"/>
          <w:sz w:val="20"/>
          <w:szCs w:val="20"/>
        </w:rPr>
        <w:t xml:space="preserve"> cómo gestionar el procedimiento en relación con esa comunicación. </w:t>
      </w:r>
    </w:p>
    <w:p w:rsidR="00D6719A" w:rsidRPr="008D6D6A" w:rsidRDefault="00942D79"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A diferencia de algunos tratados o reglas de arbitraje sobre las normas y procedimiento</w:t>
      </w:r>
      <w:r w:rsidR="00872870" w:rsidRPr="008D6D6A">
        <w:rPr>
          <w:rFonts w:ascii="Verdana" w:hAnsi="Verdana" w:cs="Times New Roman"/>
          <w:sz w:val="20"/>
          <w:szCs w:val="20"/>
        </w:rPr>
        <w:t>s</w:t>
      </w:r>
      <w:r w:rsidRPr="008D6D6A">
        <w:rPr>
          <w:rFonts w:ascii="Verdana" w:hAnsi="Verdana" w:cs="Times New Roman"/>
          <w:sz w:val="20"/>
          <w:szCs w:val="20"/>
        </w:rPr>
        <w:t xml:space="preserve"> para la </w:t>
      </w:r>
      <w:r w:rsidR="00872870" w:rsidRPr="008D6D6A">
        <w:rPr>
          <w:rFonts w:ascii="Verdana" w:hAnsi="Verdana" w:cs="Times New Roman"/>
          <w:sz w:val="20"/>
          <w:szCs w:val="20"/>
        </w:rPr>
        <w:t>presentación y aceptación de</w:t>
      </w:r>
      <w:r w:rsidRPr="008D6D6A">
        <w:rPr>
          <w:rFonts w:ascii="Verdana" w:hAnsi="Verdana" w:cs="Times New Roman"/>
          <w:sz w:val="20"/>
          <w:szCs w:val="20"/>
        </w:rPr>
        <w:t xml:space="preserve"> comunicaciones, el Reglament</w:t>
      </w:r>
      <w:r w:rsidR="00872870" w:rsidRPr="008D6D6A">
        <w:rPr>
          <w:rFonts w:ascii="Verdana" w:hAnsi="Verdana" w:cs="Times New Roman"/>
          <w:sz w:val="20"/>
          <w:szCs w:val="20"/>
        </w:rPr>
        <w:t>o</w:t>
      </w:r>
      <w:r w:rsidR="00473820" w:rsidRPr="008D6D6A">
        <w:rPr>
          <w:rFonts w:ascii="Verdana" w:hAnsi="Verdana" w:cs="Times New Roman"/>
          <w:sz w:val="20"/>
          <w:szCs w:val="20"/>
        </w:rPr>
        <w:t xml:space="preserve"> </w:t>
      </w:r>
      <w:r w:rsidR="005E53C6" w:rsidRPr="008D6D6A">
        <w:rPr>
          <w:rFonts w:ascii="Verdana" w:hAnsi="Verdana" w:cs="Times New Roman"/>
          <w:sz w:val="20"/>
          <w:szCs w:val="20"/>
        </w:rPr>
        <w:t>presenta también una notable diferencia</w:t>
      </w:r>
      <w:r w:rsidR="00473820" w:rsidRPr="008D6D6A">
        <w:rPr>
          <w:rFonts w:ascii="Verdana" w:hAnsi="Verdana" w:cs="Times New Roman"/>
          <w:sz w:val="20"/>
          <w:szCs w:val="20"/>
        </w:rPr>
        <w:t xml:space="preserve">. </w:t>
      </w:r>
      <w:r w:rsidR="00E363A0" w:rsidRPr="008D6D6A">
        <w:rPr>
          <w:rFonts w:ascii="Verdana" w:hAnsi="Verdana" w:cs="Times New Roman"/>
          <w:sz w:val="20"/>
          <w:szCs w:val="20"/>
        </w:rPr>
        <w:t>M</w:t>
      </w:r>
      <w:r w:rsidR="00376601" w:rsidRPr="008D6D6A">
        <w:rPr>
          <w:rFonts w:ascii="Verdana" w:hAnsi="Verdana" w:cs="Times New Roman"/>
          <w:sz w:val="20"/>
          <w:szCs w:val="20"/>
        </w:rPr>
        <w:t xml:space="preserve">ás allá de exigir al tercero </w:t>
      </w:r>
      <w:r w:rsidR="005E53C6" w:rsidRPr="008D6D6A">
        <w:rPr>
          <w:rFonts w:ascii="Verdana" w:hAnsi="Verdana" w:cs="Times New Roman"/>
          <w:sz w:val="20"/>
          <w:szCs w:val="20"/>
        </w:rPr>
        <w:t>que revele cierta información sobre</w:t>
      </w:r>
      <w:r w:rsidR="00376601" w:rsidRPr="008D6D6A">
        <w:rPr>
          <w:rFonts w:ascii="Verdana" w:hAnsi="Verdana" w:cs="Times New Roman"/>
          <w:sz w:val="20"/>
          <w:szCs w:val="20"/>
        </w:rPr>
        <w:t xml:space="preserve"> su persona</w:t>
      </w:r>
      <w:r w:rsidR="00376601" w:rsidRPr="008D6D6A">
        <w:rPr>
          <w:rStyle w:val="Refdenotaalpie"/>
          <w:rFonts w:ascii="Verdana" w:hAnsi="Verdana" w:cs="Times New Roman"/>
          <w:sz w:val="20"/>
          <w:szCs w:val="20"/>
        </w:rPr>
        <w:footnoteReference w:id="86"/>
      </w:r>
      <w:r w:rsidR="00376601" w:rsidRPr="008D6D6A">
        <w:rPr>
          <w:rFonts w:ascii="Verdana" w:hAnsi="Verdana" w:cs="Times New Roman"/>
          <w:sz w:val="20"/>
          <w:szCs w:val="20"/>
        </w:rPr>
        <w:t>, su interés en el caso y las cuestiones específicas sobre las que desea pronunciarse</w:t>
      </w:r>
      <w:r w:rsidR="000C0751" w:rsidRPr="008D6D6A">
        <w:rPr>
          <w:rStyle w:val="Refdenotaalpie"/>
          <w:rFonts w:ascii="Verdana" w:hAnsi="Verdana" w:cs="Times New Roman"/>
          <w:sz w:val="20"/>
          <w:szCs w:val="20"/>
        </w:rPr>
        <w:footnoteReference w:id="87"/>
      </w:r>
      <w:r w:rsidR="000C0751" w:rsidRPr="008D6D6A">
        <w:rPr>
          <w:rFonts w:ascii="Verdana" w:hAnsi="Verdana" w:cs="Times New Roman"/>
          <w:sz w:val="20"/>
          <w:szCs w:val="20"/>
        </w:rPr>
        <w:t>;</w:t>
      </w:r>
      <w:r w:rsidR="00376601" w:rsidRPr="008D6D6A">
        <w:rPr>
          <w:rFonts w:ascii="Verdana" w:hAnsi="Verdana" w:cs="Times New Roman"/>
          <w:sz w:val="20"/>
          <w:szCs w:val="20"/>
        </w:rPr>
        <w:t xml:space="preserve"> </w:t>
      </w:r>
      <w:r w:rsidR="000C0751" w:rsidRPr="008D6D6A">
        <w:rPr>
          <w:rFonts w:ascii="Verdana" w:hAnsi="Verdana" w:cs="Times New Roman"/>
          <w:sz w:val="20"/>
          <w:szCs w:val="20"/>
        </w:rPr>
        <w:t xml:space="preserve">establece la revelación de información sobre las fuentes </w:t>
      </w:r>
      <w:r w:rsidR="00EE3415" w:rsidRPr="008D6D6A">
        <w:rPr>
          <w:rFonts w:ascii="Verdana" w:hAnsi="Verdana" w:cs="Times New Roman"/>
          <w:sz w:val="20"/>
          <w:szCs w:val="20"/>
        </w:rPr>
        <w:t xml:space="preserve">de </w:t>
      </w:r>
      <w:r w:rsidR="00EE3415" w:rsidRPr="008D6D6A">
        <w:rPr>
          <w:rFonts w:ascii="Verdana" w:hAnsi="Verdana" w:cs="Times New Roman"/>
          <w:sz w:val="20"/>
          <w:szCs w:val="20"/>
        </w:rPr>
        <w:lastRenderedPageBreak/>
        <w:t xml:space="preserve">financiación o ayudas </w:t>
      </w:r>
      <w:r w:rsidR="000C0751" w:rsidRPr="008D6D6A">
        <w:rPr>
          <w:rFonts w:ascii="Verdana" w:hAnsi="Verdana" w:cs="Times New Roman"/>
          <w:sz w:val="20"/>
          <w:szCs w:val="20"/>
        </w:rPr>
        <w:t>de otra índole que haya recibido el solicitante</w:t>
      </w:r>
      <w:r w:rsidR="000C0751" w:rsidRPr="008D6D6A">
        <w:rPr>
          <w:rStyle w:val="Refdenotaalpie"/>
          <w:rFonts w:ascii="Verdana" w:hAnsi="Verdana" w:cs="Times New Roman"/>
          <w:sz w:val="20"/>
          <w:szCs w:val="20"/>
        </w:rPr>
        <w:footnoteReference w:id="88"/>
      </w:r>
      <w:r w:rsidR="000C0751" w:rsidRPr="008D6D6A">
        <w:rPr>
          <w:rFonts w:ascii="Verdana" w:hAnsi="Verdana" w:cs="Times New Roman"/>
          <w:sz w:val="20"/>
          <w:szCs w:val="20"/>
        </w:rPr>
        <w:t xml:space="preserve">, </w:t>
      </w:r>
      <w:r w:rsidR="00376601" w:rsidRPr="008D6D6A">
        <w:rPr>
          <w:rFonts w:ascii="Verdana" w:hAnsi="Verdana" w:cs="Times New Roman"/>
          <w:sz w:val="20"/>
          <w:szCs w:val="20"/>
        </w:rPr>
        <w:t>datos que serán evaluados por el tribun</w:t>
      </w:r>
      <w:r w:rsidR="00A64172" w:rsidRPr="008D6D6A">
        <w:rPr>
          <w:rFonts w:ascii="Verdana" w:hAnsi="Verdana" w:cs="Times New Roman"/>
          <w:sz w:val="20"/>
          <w:szCs w:val="20"/>
        </w:rPr>
        <w:t>al a los efectos de ser admitida</w:t>
      </w:r>
      <w:r w:rsidR="00376601" w:rsidRPr="008D6D6A">
        <w:rPr>
          <w:rFonts w:ascii="Verdana" w:hAnsi="Verdana" w:cs="Times New Roman"/>
          <w:sz w:val="20"/>
          <w:szCs w:val="20"/>
        </w:rPr>
        <w:t xml:space="preserve"> o no su intervención en el caso</w:t>
      </w:r>
      <w:r w:rsidR="000C0751" w:rsidRPr="008D6D6A">
        <w:rPr>
          <w:rFonts w:ascii="Verdana" w:hAnsi="Verdana" w:cs="Times New Roman"/>
          <w:sz w:val="20"/>
          <w:szCs w:val="20"/>
        </w:rPr>
        <w:t>.</w:t>
      </w:r>
      <w:r w:rsidR="00967892" w:rsidRPr="008D6D6A">
        <w:rPr>
          <w:rFonts w:ascii="Verdana" w:hAnsi="Verdana" w:cs="Times New Roman"/>
          <w:sz w:val="20"/>
          <w:szCs w:val="20"/>
        </w:rPr>
        <w:t xml:space="preserve"> </w:t>
      </w:r>
      <w:r w:rsidR="0036201B" w:rsidRPr="008D6D6A">
        <w:rPr>
          <w:rFonts w:ascii="Verdana" w:hAnsi="Verdana" w:cs="Times New Roman"/>
          <w:sz w:val="20"/>
          <w:szCs w:val="20"/>
        </w:rPr>
        <w:t>No obstante</w:t>
      </w:r>
      <w:r w:rsidR="0033349D" w:rsidRPr="008D6D6A">
        <w:rPr>
          <w:rFonts w:ascii="Verdana" w:hAnsi="Verdana" w:cs="Times New Roman"/>
          <w:sz w:val="20"/>
          <w:szCs w:val="20"/>
        </w:rPr>
        <w:t>, el Reglamento, una vez</w:t>
      </w:r>
      <w:r w:rsidR="00A12DDA" w:rsidRPr="008D6D6A">
        <w:rPr>
          <w:rFonts w:ascii="Verdana" w:hAnsi="Verdana" w:cs="Times New Roman"/>
          <w:sz w:val="20"/>
          <w:szCs w:val="20"/>
        </w:rPr>
        <w:t xml:space="preserve"> reconocidas</w:t>
      </w:r>
      <w:r w:rsidR="0033349D" w:rsidRPr="008D6D6A">
        <w:rPr>
          <w:rFonts w:ascii="Verdana" w:hAnsi="Verdana" w:cs="Times New Roman"/>
          <w:sz w:val="20"/>
          <w:szCs w:val="20"/>
        </w:rPr>
        <w:t xml:space="preserve"> las obligaciones de todo tercero que desee presentar una comunicación al procedimiento, y las facultades del tribunal para admitir o no dicha comunicación, no se pronuncia en relación a si el tercero interesado puede presentar algún recurso ante el tribunal en caso de que éste </w:t>
      </w:r>
      <w:r w:rsidR="00CD39DE" w:rsidRPr="008D6D6A">
        <w:rPr>
          <w:rFonts w:ascii="Verdana" w:hAnsi="Verdana" w:cs="Times New Roman"/>
          <w:sz w:val="20"/>
          <w:szCs w:val="20"/>
        </w:rPr>
        <w:t xml:space="preserve">le deniegue su solicitud de comunicación. </w:t>
      </w:r>
      <w:r w:rsidR="00A12DDA" w:rsidRPr="008D6D6A">
        <w:rPr>
          <w:rFonts w:ascii="Verdana" w:hAnsi="Verdana" w:cs="Times New Roman"/>
          <w:sz w:val="20"/>
          <w:szCs w:val="20"/>
        </w:rPr>
        <w:t xml:space="preserve">En este sentido, deberá </w:t>
      </w:r>
      <w:r w:rsidR="0039141A" w:rsidRPr="008D6D6A">
        <w:rPr>
          <w:rFonts w:ascii="Verdana" w:hAnsi="Verdana" w:cs="Times New Roman"/>
          <w:sz w:val="20"/>
          <w:szCs w:val="20"/>
        </w:rPr>
        <w:t xml:space="preserve">remitirse </w:t>
      </w:r>
      <w:r w:rsidR="00F06189">
        <w:rPr>
          <w:rFonts w:ascii="Verdana" w:hAnsi="Verdana" w:cs="Times New Roman"/>
          <w:sz w:val="20"/>
          <w:szCs w:val="20"/>
        </w:rPr>
        <w:t xml:space="preserve">a </w:t>
      </w:r>
      <w:r w:rsidR="0039141A" w:rsidRPr="008D6D6A">
        <w:rPr>
          <w:rFonts w:ascii="Verdana" w:hAnsi="Verdana" w:cs="Times New Roman"/>
          <w:sz w:val="20"/>
          <w:szCs w:val="20"/>
        </w:rPr>
        <w:t>las reglas arbitrales en la</w:t>
      </w:r>
      <w:r w:rsidR="008B566B" w:rsidRPr="008D6D6A">
        <w:rPr>
          <w:rFonts w:ascii="Verdana" w:hAnsi="Verdana" w:cs="Times New Roman"/>
          <w:sz w:val="20"/>
          <w:szCs w:val="20"/>
        </w:rPr>
        <w:t xml:space="preserve">s que se basa el </w:t>
      </w:r>
      <w:r w:rsidR="00A12DDA" w:rsidRPr="008D6D6A">
        <w:rPr>
          <w:rFonts w:ascii="Verdana" w:hAnsi="Verdana" w:cs="Times New Roman"/>
          <w:sz w:val="20"/>
          <w:szCs w:val="20"/>
        </w:rPr>
        <w:t>arbitraje</w:t>
      </w:r>
      <w:r w:rsidR="008B566B" w:rsidRPr="008D6D6A">
        <w:rPr>
          <w:rFonts w:ascii="Verdana" w:hAnsi="Verdana" w:cs="Times New Roman"/>
          <w:sz w:val="20"/>
          <w:szCs w:val="20"/>
        </w:rPr>
        <w:t xml:space="preserve">, siempre y cuando éstas </w:t>
      </w:r>
      <w:r w:rsidR="00A12DDA" w:rsidRPr="008D6D6A">
        <w:rPr>
          <w:rFonts w:ascii="Verdana" w:hAnsi="Verdana" w:cs="Times New Roman"/>
          <w:sz w:val="20"/>
          <w:szCs w:val="20"/>
        </w:rPr>
        <w:t>establezcan</w:t>
      </w:r>
      <w:r w:rsidR="008B566B" w:rsidRPr="008D6D6A">
        <w:rPr>
          <w:rFonts w:ascii="Verdana" w:hAnsi="Verdana" w:cs="Times New Roman"/>
          <w:sz w:val="20"/>
          <w:szCs w:val="20"/>
        </w:rPr>
        <w:t xml:space="preserve"> la participación de terceros en el procedimiento. </w:t>
      </w:r>
    </w:p>
    <w:p w:rsidR="0051071B" w:rsidRPr="008D6D6A" w:rsidRDefault="0075318B"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Sin embargo, si bien el precepto anterior se diferencia de otras normas respecto al objeto de regulación, el apartado 4.3 </w:t>
      </w:r>
      <w:r w:rsidR="007E0E2D" w:rsidRPr="008D6D6A">
        <w:rPr>
          <w:rFonts w:ascii="Verdana" w:hAnsi="Verdana" w:cs="Times New Roman"/>
          <w:sz w:val="20"/>
          <w:szCs w:val="20"/>
        </w:rPr>
        <w:t>del Reglamento</w:t>
      </w:r>
      <w:r w:rsidR="007D7E9B" w:rsidRPr="008D6D6A">
        <w:rPr>
          <w:rStyle w:val="Refdenotaalpie"/>
          <w:rFonts w:ascii="Verdana" w:hAnsi="Verdana" w:cs="Times New Roman"/>
          <w:sz w:val="20"/>
          <w:szCs w:val="20"/>
        </w:rPr>
        <w:footnoteReference w:id="89"/>
      </w:r>
      <w:r w:rsidR="007E0E2D" w:rsidRPr="008D6D6A">
        <w:rPr>
          <w:rFonts w:ascii="Verdana" w:hAnsi="Verdana" w:cs="Times New Roman"/>
          <w:sz w:val="20"/>
          <w:szCs w:val="20"/>
        </w:rPr>
        <w:t xml:space="preserve"> </w:t>
      </w:r>
      <w:r w:rsidR="0036201B" w:rsidRPr="008D6D6A">
        <w:rPr>
          <w:rFonts w:ascii="Verdana" w:hAnsi="Verdana" w:cs="Times New Roman"/>
          <w:sz w:val="20"/>
          <w:szCs w:val="20"/>
        </w:rPr>
        <w:t>no se aleja</w:t>
      </w:r>
      <w:r w:rsidRPr="008D6D6A">
        <w:rPr>
          <w:rFonts w:ascii="Verdana" w:hAnsi="Verdana" w:cs="Times New Roman"/>
          <w:sz w:val="20"/>
          <w:szCs w:val="20"/>
        </w:rPr>
        <w:t xml:space="preserve"> de lo ya regulado en otras reglas arbitrales</w:t>
      </w:r>
      <w:r w:rsidR="00EC305B" w:rsidRPr="008D6D6A">
        <w:rPr>
          <w:rFonts w:ascii="Verdana" w:hAnsi="Verdana" w:cs="Times New Roman"/>
          <w:sz w:val="20"/>
          <w:szCs w:val="20"/>
        </w:rPr>
        <w:t>, como</w:t>
      </w:r>
      <w:r w:rsidR="007E0E2D" w:rsidRPr="008D6D6A">
        <w:rPr>
          <w:rFonts w:ascii="Verdana" w:hAnsi="Verdana" w:cs="Times New Roman"/>
          <w:sz w:val="20"/>
          <w:szCs w:val="20"/>
        </w:rPr>
        <w:t xml:space="preserve"> las Reglas de Arbitraje del CIADI</w:t>
      </w:r>
      <w:r w:rsidR="00EA137C" w:rsidRPr="008D6D6A">
        <w:rPr>
          <w:rFonts w:ascii="Verdana" w:hAnsi="Verdana" w:cs="Times New Roman"/>
          <w:sz w:val="20"/>
          <w:szCs w:val="20"/>
        </w:rPr>
        <w:t xml:space="preserve"> y su</w:t>
      </w:r>
      <w:r w:rsidR="007E0E2D" w:rsidRPr="008D6D6A">
        <w:rPr>
          <w:rFonts w:ascii="Verdana" w:hAnsi="Verdana" w:cs="Times New Roman"/>
          <w:sz w:val="20"/>
          <w:szCs w:val="20"/>
        </w:rPr>
        <w:t xml:space="preserve"> Mecanismo Complementario</w:t>
      </w:r>
      <w:r w:rsidR="00EA137C" w:rsidRPr="008D6D6A">
        <w:rPr>
          <w:rStyle w:val="Refdenotaalpie"/>
          <w:rFonts w:ascii="Verdana" w:hAnsi="Verdana" w:cs="Times New Roman"/>
          <w:sz w:val="20"/>
          <w:szCs w:val="20"/>
        </w:rPr>
        <w:footnoteReference w:id="90"/>
      </w:r>
      <w:r w:rsidR="003B247A" w:rsidRPr="008D6D6A">
        <w:rPr>
          <w:rFonts w:ascii="Verdana" w:hAnsi="Verdana" w:cs="Times New Roman"/>
          <w:sz w:val="20"/>
          <w:szCs w:val="20"/>
        </w:rPr>
        <w:t xml:space="preserve"> referente a los requisitos</w:t>
      </w:r>
      <w:r w:rsidRPr="008D6D6A">
        <w:rPr>
          <w:rFonts w:ascii="Verdana" w:hAnsi="Verdana" w:cs="Times New Roman"/>
          <w:sz w:val="20"/>
          <w:szCs w:val="20"/>
        </w:rPr>
        <w:t xml:space="preserve"> que debe de </w:t>
      </w:r>
      <w:r w:rsidR="007E0E2D" w:rsidRPr="008D6D6A">
        <w:rPr>
          <w:rFonts w:ascii="Verdana" w:hAnsi="Verdana" w:cs="Times New Roman"/>
          <w:sz w:val="20"/>
          <w:szCs w:val="20"/>
        </w:rPr>
        <w:t>cumplir el escrito</w:t>
      </w:r>
      <w:r w:rsidRPr="008D6D6A">
        <w:rPr>
          <w:rFonts w:ascii="Verdana" w:hAnsi="Verdana" w:cs="Times New Roman"/>
          <w:sz w:val="20"/>
          <w:szCs w:val="20"/>
        </w:rPr>
        <w:t xml:space="preserve"> presentado por el tercero al tribunal</w:t>
      </w:r>
      <w:r w:rsidR="003B247A" w:rsidRPr="008D6D6A">
        <w:rPr>
          <w:rFonts w:ascii="Verdana" w:hAnsi="Verdana" w:cs="Times New Roman"/>
          <w:sz w:val="20"/>
          <w:szCs w:val="20"/>
        </w:rPr>
        <w:t xml:space="preserve"> arbitral para su aceptación. </w:t>
      </w:r>
      <w:r w:rsidR="00F06189">
        <w:rPr>
          <w:rFonts w:ascii="Verdana" w:hAnsi="Verdana" w:cs="Times New Roman"/>
          <w:sz w:val="20"/>
          <w:szCs w:val="20"/>
        </w:rPr>
        <w:t>Al respecto</w:t>
      </w:r>
      <w:r w:rsidR="00473820" w:rsidRPr="008D6D6A">
        <w:rPr>
          <w:rFonts w:ascii="Verdana" w:hAnsi="Verdana" w:cs="Times New Roman"/>
          <w:sz w:val="20"/>
          <w:szCs w:val="20"/>
        </w:rPr>
        <w:t>, si bien el Reglamento no se aparta de los requisitos exigidos en otras reglas arbitral</w:t>
      </w:r>
      <w:r w:rsidR="00596CEE" w:rsidRPr="008D6D6A">
        <w:rPr>
          <w:rFonts w:ascii="Verdana" w:hAnsi="Verdana" w:cs="Times New Roman"/>
          <w:sz w:val="20"/>
          <w:szCs w:val="20"/>
        </w:rPr>
        <w:t xml:space="preserve">es, </w:t>
      </w:r>
      <w:r w:rsidR="007D7E9B" w:rsidRPr="008D6D6A">
        <w:rPr>
          <w:rFonts w:ascii="Verdana" w:hAnsi="Verdana" w:cs="Times New Roman"/>
          <w:sz w:val="20"/>
          <w:szCs w:val="20"/>
        </w:rPr>
        <w:t>permite al tribunal</w:t>
      </w:r>
      <w:r w:rsidR="00C368AD" w:rsidRPr="008D6D6A">
        <w:rPr>
          <w:rFonts w:ascii="Verdana" w:hAnsi="Verdana" w:cs="Times New Roman"/>
          <w:sz w:val="20"/>
          <w:szCs w:val="20"/>
        </w:rPr>
        <w:t xml:space="preserve"> </w:t>
      </w:r>
      <w:r w:rsidR="00473820" w:rsidRPr="008D6D6A">
        <w:rPr>
          <w:rFonts w:ascii="Verdana" w:hAnsi="Verdana" w:cs="Times New Roman"/>
          <w:sz w:val="20"/>
          <w:szCs w:val="20"/>
        </w:rPr>
        <w:t>en el ejercicio d</w:t>
      </w:r>
      <w:r w:rsidR="00596CEE" w:rsidRPr="008D6D6A">
        <w:rPr>
          <w:rFonts w:ascii="Verdana" w:hAnsi="Verdana" w:cs="Times New Roman"/>
          <w:sz w:val="20"/>
          <w:szCs w:val="20"/>
        </w:rPr>
        <w:t>e sus facultades de apreciación</w:t>
      </w:r>
      <w:r w:rsidR="00473820" w:rsidRPr="008D6D6A">
        <w:rPr>
          <w:rFonts w:ascii="Verdana" w:hAnsi="Verdana" w:cs="Times New Roman"/>
          <w:sz w:val="20"/>
          <w:szCs w:val="20"/>
        </w:rPr>
        <w:t xml:space="preserve"> poder admitir o no el escrito de presentación de un terce</w:t>
      </w:r>
      <w:r w:rsidR="00092ED1" w:rsidRPr="008D6D6A">
        <w:rPr>
          <w:rFonts w:ascii="Verdana" w:hAnsi="Verdana" w:cs="Times New Roman"/>
          <w:sz w:val="20"/>
          <w:szCs w:val="20"/>
        </w:rPr>
        <w:t>ro</w:t>
      </w:r>
      <w:r w:rsidR="004E6D7C" w:rsidRPr="008D6D6A">
        <w:rPr>
          <w:rFonts w:ascii="Verdana" w:hAnsi="Verdana" w:cs="Times New Roman"/>
          <w:sz w:val="20"/>
          <w:szCs w:val="20"/>
        </w:rPr>
        <w:t xml:space="preserve">. De admitirse la intervención del tercero, el mismo deberá </w:t>
      </w:r>
      <w:r w:rsidR="00092ED1" w:rsidRPr="008D6D6A">
        <w:rPr>
          <w:rFonts w:ascii="Verdana" w:hAnsi="Verdana" w:cs="Times New Roman"/>
          <w:sz w:val="20"/>
          <w:szCs w:val="20"/>
        </w:rPr>
        <w:t xml:space="preserve">cumplir </w:t>
      </w:r>
      <w:r w:rsidR="004E6D7C" w:rsidRPr="008D6D6A">
        <w:rPr>
          <w:rFonts w:ascii="Verdana" w:hAnsi="Verdana" w:cs="Times New Roman"/>
          <w:sz w:val="20"/>
          <w:szCs w:val="20"/>
        </w:rPr>
        <w:t>con las condiciones formales y de fondo establecidas para que su escrito sea tomado en consideración</w:t>
      </w:r>
      <w:r w:rsidR="00092ED1" w:rsidRPr="008D6D6A">
        <w:rPr>
          <w:rStyle w:val="Refdenotaalpie"/>
          <w:rFonts w:ascii="Verdana" w:hAnsi="Verdana" w:cs="Times New Roman"/>
          <w:sz w:val="20"/>
          <w:szCs w:val="20"/>
        </w:rPr>
        <w:footnoteReference w:id="91"/>
      </w:r>
      <w:r w:rsidR="00596CEE" w:rsidRPr="008D6D6A">
        <w:rPr>
          <w:rFonts w:ascii="Verdana" w:hAnsi="Verdana" w:cs="Times New Roman"/>
          <w:sz w:val="20"/>
          <w:szCs w:val="20"/>
        </w:rPr>
        <w:t>,</w:t>
      </w:r>
      <w:r w:rsidR="00872870" w:rsidRPr="008D6D6A">
        <w:rPr>
          <w:rFonts w:ascii="Verdana" w:hAnsi="Verdana" w:cs="Times New Roman"/>
          <w:sz w:val="20"/>
          <w:szCs w:val="20"/>
        </w:rPr>
        <w:t xml:space="preserve"> </w:t>
      </w:r>
      <w:r w:rsidR="00596CEE" w:rsidRPr="008D6D6A">
        <w:rPr>
          <w:rFonts w:ascii="Verdana" w:hAnsi="Verdana" w:cs="Times New Roman"/>
          <w:sz w:val="20"/>
          <w:szCs w:val="20"/>
        </w:rPr>
        <w:t>p</w:t>
      </w:r>
      <w:r w:rsidR="00872870" w:rsidRPr="008D6D6A">
        <w:rPr>
          <w:rFonts w:ascii="Verdana" w:hAnsi="Verdana" w:cs="Times New Roman"/>
          <w:sz w:val="20"/>
          <w:szCs w:val="20"/>
        </w:rPr>
        <w:t>ara lo cual, el tribunal</w:t>
      </w:r>
      <w:r w:rsidR="00596CEE" w:rsidRPr="008D6D6A">
        <w:rPr>
          <w:rFonts w:ascii="Verdana" w:hAnsi="Verdana" w:cs="Times New Roman"/>
          <w:sz w:val="20"/>
          <w:szCs w:val="20"/>
        </w:rPr>
        <w:t xml:space="preserve"> deberá tener en cuenta, además,</w:t>
      </w:r>
      <w:r w:rsidR="004E6D7C" w:rsidRPr="008D6D6A">
        <w:rPr>
          <w:rFonts w:ascii="Verdana" w:hAnsi="Verdana" w:cs="Times New Roman"/>
          <w:sz w:val="20"/>
          <w:szCs w:val="20"/>
        </w:rPr>
        <w:t xml:space="preserve"> </w:t>
      </w:r>
      <w:r w:rsidR="00473820" w:rsidRPr="008D6D6A">
        <w:rPr>
          <w:rFonts w:ascii="Verdana" w:hAnsi="Verdana" w:cs="Times New Roman"/>
          <w:sz w:val="20"/>
          <w:szCs w:val="20"/>
        </w:rPr>
        <w:t>los elementos establecidos en el artículo 1.4 del Reglamento so</w:t>
      </w:r>
      <w:r w:rsidR="00092ED1" w:rsidRPr="008D6D6A">
        <w:rPr>
          <w:rFonts w:ascii="Verdana" w:hAnsi="Verdana" w:cs="Times New Roman"/>
          <w:sz w:val="20"/>
          <w:szCs w:val="20"/>
        </w:rPr>
        <w:t xml:space="preserve">bre </w:t>
      </w:r>
      <w:r w:rsidR="007D7E9B" w:rsidRPr="008D6D6A">
        <w:rPr>
          <w:rFonts w:ascii="Verdana" w:hAnsi="Verdana" w:cs="Times New Roman"/>
          <w:sz w:val="20"/>
          <w:szCs w:val="20"/>
        </w:rPr>
        <w:t xml:space="preserve">la </w:t>
      </w:r>
      <w:r w:rsidR="00092ED1" w:rsidRPr="008D6D6A">
        <w:rPr>
          <w:rFonts w:ascii="Verdana" w:hAnsi="Verdana" w:cs="Times New Roman"/>
          <w:sz w:val="20"/>
          <w:szCs w:val="20"/>
        </w:rPr>
        <w:t>Transparencia, dígase</w:t>
      </w:r>
      <w:r w:rsidR="00473820" w:rsidRPr="008D6D6A">
        <w:rPr>
          <w:rFonts w:ascii="Verdana" w:hAnsi="Verdana" w:cs="Times New Roman"/>
          <w:sz w:val="20"/>
          <w:szCs w:val="20"/>
        </w:rPr>
        <w:t>, el interés público</w:t>
      </w:r>
      <w:r w:rsidR="00092ED1" w:rsidRPr="008D6D6A">
        <w:rPr>
          <w:rFonts w:ascii="Verdana" w:hAnsi="Verdana" w:cs="Times New Roman"/>
          <w:sz w:val="20"/>
          <w:szCs w:val="20"/>
        </w:rPr>
        <w:t xml:space="preserve"> y la justa y eficiente resolución de la controversia.</w:t>
      </w:r>
    </w:p>
    <w:p w:rsidR="00251FD3" w:rsidRDefault="00091A7F"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Consecuentemente con lo anterior, el </w:t>
      </w:r>
      <w:r w:rsidR="00596CEE" w:rsidRPr="008D6D6A">
        <w:rPr>
          <w:rFonts w:ascii="Verdana" w:hAnsi="Verdana" w:cs="Times New Roman"/>
          <w:sz w:val="20"/>
          <w:szCs w:val="20"/>
        </w:rPr>
        <w:t>escrito presentado por terceros</w:t>
      </w:r>
      <w:r w:rsidRPr="008D6D6A">
        <w:rPr>
          <w:rFonts w:ascii="Verdana" w:hAnsi="Verdana" w:cs="Times New Roman"/>
          <w:sz w:val="20"/>
          <w:szCs w:val="20"/>
        </w:rPr>
        <w:t xml:space="preserve"> </w:t>
      </w:r>
      <w:r w:rsidR="005018D8" w:rsidRPr="008D6D6A">
        <w:rPr>
          <w:rFonts w:ascii="Verdana" w:hAnsi="Verdana" w:cs="Times New Roman"/>
          <w:sz w:val="20"/>
          <w:szCs w:val="20"/>
        </w:rPr>
        <w:t>comporta</w:t>
      </w:r>
      <w:r w:rsidRPr="008D6D6A">
        <w:rPr>
          <w:rFonts w:ascii="Verdana" w:hAnsi="Verdana" w:cs="Times New Roman"/>
          <w:sz w:val="20"/>
          <w:szCs w:val="20"/>
        </w:rPr>
        <w:t xml:space="preserve"> la imposición de cargas adicionales a las </w:t>
      </w:r>
      <w:r w:rsidR="00A64172" w:rsidRPr="008D6D6A">
        <w:rPr>
          <w:rFonts w:ascii="Verdana" w:hAnsi="Verdana" w:cs="Times New Roman"/>
          <w:sz w:val="20"/>
          <w:szCs w:val="20"/>
        </w:rPr>
        <w:t>partes litigantes en el proceso,</w:t>
      </w:r>
      <w:r w:rsidRPr="008D6D6A">
        <w:rPr>
          <w:rFonts w:ascii="Verdana" w:hAnsi="Verdana" w:cs="Times New Roman"/>
          <w:sz w:val="20"/>
          <w:szCs w:val="20"/>
        </w:rPr>
        <w:t xml:space="preserve"> </w:t>
      </w:r>
      <w:r w:rsidR="00A64172" w:rsidRPr="008D6D6A">
        <w:rPr>
          <w:rFonts w:ascii="Verdana" w:hAnsi="Verdana" w:cs="Times New Roman"/>
          <w:sz w:val="20"/>
          <w:szCs w:val="20"/>
        </w:rPr>
        <w:t>razón por la cual</w:t>
      </w:r>
      <w:r w:rsidRPr="008D6D6A">
        <w:rPr>
          <w:rFonts w:ascii="Verdana" w:hAnsi="Verdana" w:cs="Times New Roman"/>
          <w:sz w:val="20"/>
          <w:szCs w:val="20"/>
        </w:rPr>
        <w:t xml:space="preserve"> el precepto 4.5 del Reglamento</w:t>
      </w:r>
      <w:r w:rsidRPr="008D6D6A">
        <w:rPr>
          <w:rStyle w:val="Refdenotaalpie"/>
          <w:rFonts w:ascii="Verdana" w:hAnsi="Verdana" w:cs="Times New Roman"/>
          <w:sz w:val="20"/>
          <w:szCs w:val="20"/>
        </w:rPr>
        <w:footnoteReference w:id="92"/>
      </w:r>
      <w:r w:rsidRPr="008D6D6A">
        <w:rPr>
          <w:rFonts w:ascii="Verdana" w:hAnsi="Verdana" w:cs="Times New Roman"/>
          <w:sz w:val="20"/>
          <w:szCs w:val="20"/>
        </w:rPr>
        <w:t xml:space="preserve"> </w:t>
      </w:r>
      <w:r w:rsidR="00CF5278" w:rsidRPr="008D6D6A">
        <w:rPr>
          <w:rFonts w:ascii="Verdana" w:hAnsi="Verdana" w:cs="Times New Roman"/>
          <w:sz w:val="20"/>
          <w:szCs w:val="20"/>
        </w:rPr>
        <w:t>exige</w:t>
      </w:r>
      <w:r w:rsidR="00493EF4" w:rsidRPr="008D6D6A">
        <w:rPr>
          <w:rFonts w:ascii="Verdana" w:hAnsi="Verdana" w:cs="Times New Roman"/>
          <w:sz w:val="20"/>
          <w:szCs w:val="20"/>
        </w:rPr>
        <w:t xml:space="preserve"> al tribunal</w:t>
      </w:r>
      <w:r w:rsidRPr="008D6D6A">
        <w:rPr>
          <w:rFonts w:ascii="Verdana" w:hAnsi="Verdana" w:cs="Times New Roman"/>
          <w:sz w:val="20"/>
          <w:szCs w:val="20"/>
        </w:rPr>
        <w:t xml:space="preserve"> velar por el correcto cumplimiento del procedimiento arbitral, teniendo en cuenta el impacto que se produce con la sumisión de terceros al procedimiento</w:t>
      </w:r>
      <w:r w:rsidR="00596CEE" w:rsidRPr="008D6D6A">
        <w:rPr>
          <w:rFonts w:ascii="Verdana" w:hAnsi="Verdana" w:cs="Times New Roman"/>
          <w:sz w:val="20"/>
          <w:szCs w:val="20"/>
        </w:rPr>
        <w:t>,</w:t>
      </w:r>
      <w:r w:rsidRPr="008D6D6A">
        <w:rPr>
          <w:rFonts w:ascii="Verdana" w:hAnsi="Verdana" w:cs="Times New Roman"/>
          <w:sz w:val="20"/>
          <w:szCs w:val="20"/>
        </w:rPr>
        <w:t xml:space="preserve"> </w:t>
      </w:r>
      <w:r w:rsidR="00596CEE" w:rsidRPr="008D6D6A">
        <w:rPr>
          <w:rFonts w:ascii="Verdana" w:hAnsi="Verdana" w:cs="Times New Roman"/>
          <w:sz w:val="20"/>
          <w:szCs w:val="20"/>
        </w:rPr>
        <w:t>en el que</w:t>
      </w:r>
      <w:r w:rsidR="00D54A6E" w:rsidRPr="008D6D6A">
        <w:rPr>
          <w:rFonts w:ascii="Verdana" w:hAnsi="Verdana" w:cs="Times New Roman"/>
          <w:sz w:val="20"/>
          <w:szCs w:val="20"/>
        </w:rPr>
        <w:t xml:space="preserve"> las partes no están libres de perjuicios</w:t>
      </w:r>
      <w:r w:rsidR="00CF5278" w:rsidRPr="008D6D6A">
        <w:rPr>
          <w:rFonts w:ascii="Verdana" w:hAnsi="Verdana" w:cs="Times New Roman"/>
          <w:sz w:val="20"/>
          <w:szCs w:val="20"/>
        </w:rPr>
        <w:t xml:space="preserve"> indebid</w:t>
      </w:r>
      <w:r w:rsidR="00D54A6E" w:rsidRPr="008D6D6A">
        <w:rPr>
          <w:rFonts w:ascii="Verdana" w:hAnsi="Verdana" w:cs="Times New Roman"/>
          <w:sz w:val="20"/>
          <w:szCs w:val="20"/>
        </w:rPr>
        <w:t xml:space="preserve">os, </w:t>
      </w:r>
      <w:r w:rsidR="00CF5278" w:rsidRPr="008D6D6A">
        <w:rPr>
          <w:rFonts w:ascii="Verdana" w:hAnsi="Verdana" w:cs="Times New Roman"/>
          <w:sz w:val="20"/>
          <w:szCs w:val="20"/>
        </w:rPr>
        <w:t xml:space="preserve">de ahí la </w:t>
      </w:r>
      <w:r w:rsidR="00D54A6E" w:rsidRPr="008D6D6A">
        <w:rPr>
          <w:rFonts w:ascii="Verdana" w:hAnsi="Verdana" w:cs="Times New Roman"/>
          <w:sz w:val="20"/>
          <w:szCs w:val="20"/>
        </w:rPr>
        <w:t>obliga</w:t>
      </w:r>
      <w:r w:rsidR="00CF5278" w:rsidRPr="008D6D6A">
        <w:rPr>
          <w:rFonts w:ascii="Verdana" w:hAnsi="Verdana" w:cs="Times New Roman"/>
          <w:sz w:val="20"/>
          <w:szCs w:val="20"/>
        </w:rPr>
        <w:t>ción del</w:t>
      </w:r>
      <w:r w:rsidR="00D54A6E" w:rsidRPr="008D6D6A">
        <w:rPr>
          <w:rFonts w:ascii="Verdana" w:hAnsi="Verdana" w:cs="Times New Roman"/>
          <w:sz w:val="20"/>
          <w:szCs w:val="20"/>
        </w:rPr>
        <w:t xml:space="preserve"> </w:t>
      </w:r>
      <w:r w:rsidR="00CF5278" w:rsidRPr="008D6D6A">
        <w:rPr>
          <w:rFonts w:ascii="Verdana" w:hAnsi="Verdana" w:cs="Times New Roman"/>
          <w:sz w:val="20"/>
          <w:szCs w:val="20"/>
        </w:rPr>
        <w:t>tribunal de</w:t>
      </w:r>
      <w:r w:rsidR="00D54A6E" w:rsidRPr="008D6D6A">
        <w:rPr>
          <w:rFonts w:ascii="Verdana" w:hAnsi="Verdana" w:cs="Times New Roman"/>
          <w:sz w:val="20"/>
          <w:szCs w:val="20"/>
        </w:rPr>
        <w:t xml:space="preserve"> velar porque no se produzca</w:t>
      </w:r>
      <w:r w:rsidR="00B97CC3" w:rsidRPr="008D6D6A">
        <w:rPr>
          <w:rFonts w:ascii="Verdana" w:hAnsi="Verdana" w:cs="Times New Roman"/>
          <w:sz w:val="20"/>
          <w:szCs w:val="20"/>
        </w:rPr>
        <w:t>n</w:t>
      </w:r>
      <w:r w:rsidR="00596CEE" w:rsidRPr="008D6D6A">
        <w:rPr>
          <w:rFonts w:ascii="Verdana" w:hAnsi="Verdana" w:cs="Times New Roman"/>
          <w:sz w:val="20"/>
          <w:szCs w:val="20"/>
        </w:rPr>
        <w:t xml:space="preserve"> tales perjuicios a las P</w:t>
      </w:r>
      <w:r w:rsidR="00D54A6E" w:rsidRPr="008D6D6A">
        <w:rPr>
          <w:rFonts w:ascii="Verdana" w:hAnsi="Verdana" w:cs="Times New Roman"/>
          <w:sz w:val="20"/>
          <w:szCs w:val="20"/>
        </w:rPr>
        <w:t>artes contendientes. Del m</w:t>
      </w:r>
      <w:r w:rsidR="00596CEE" w:rsidRPr="008D6D6A">
        <w:rPr>
          <w:rFonts w:ascii="Verdana" w:hAnsi="Verdana" w:cs="Times New Roman"/>
          <w:sz w:val="20"/>
          <w:szCs w:val="20"/>
        </w:rPr>
        <w:t>ismo modo, el propio Reglamento</w:t>
      </w:r>
      <w:r w:rsidR="00D54A6E" w:rsidRPr="008D6D6A">
        <w:rPr>
          <w:rFonts w:ascii="Verdana" w:hAnsi="Verdana" w:cs="Times New Roman"/>
          <w:sz w:val="20"/>
          <w:szCs w:val="20"/>
        </w:rPr>
        <w:t xml:space="preserve"> </w:t>
      </w:r>
      <w:r w:rsidR="00596CEE" w:rsidRPr="008D6D6A">
        <w:rPr>
          <w:rFonts w:ascii="Verdana" w:hAnsi="Verdana" w:cs="Times New Roman"/>
          <w:sz w:val="20"/>
          <w:szCs w:val="20"/>
        </w:rPr>
        <w:t>permite</w:t>
      </w:r>
      <w:r w:rsidR="00CF5278" w:rsidRPr="008D6D6A">
        <w:rPr>
          <w:rFonts w:ascii="Verdana" w:hAnsi="Verdana" w:cs="Times New Roman"/>
          <w:sz w:val="20"/>
          <w:szCs w:val="20"/>
        </w:rPr>
        <w:t xml:space="preserve"> que las partes litigantes</w:t>
      </w:r>
      <w:r w:rsidR="00D54A6E" w:rsidRPr="008D6D6A">
        <w:rPr>
          <w:rFonts w:ascii="Verdana" w:hAnsi="Verdana" w:cs="Times New Roman"/>
          <w:sz w:val="20"/>
          <w:szCs w:val="20"/>
        </w:rPr>
        <w:t xml:space="preserve"> puedan tener la oportunidad de formular observaciones acerca de los escritos</w:t>
      </w:r>
      <w:r w:rsidR="00B97CC3" w:rsidRPr="008D6D6A">
        <w:rPr>
          <w:rStyle w:val="Refdenotaalpie"/>
          <w:rFonts w:ascii="Verdana" w:hAnsi="Verdana" w:cs="Times New Roman"/>
          <w:sz w:val="20"/>
          <w:szCs w:val="20"/>
        </w:rPr>
        <w:footnoteReference w:id="93"/>
      </w:r>
      <w:r w:rsidR="00D54A6E" w:rsidRPr="008D6D6A">
        <w:rPr>
          <w:rFonts w:ascii="Verdana" w:hAnsi="Verdana" w:cs="Times New Roman"/>
          <w:sz w:val="20"/>
          <w:szCs w:val="20"/>
        </w:rPr>
        <w:t xml:space="preserve">, preservando así el éxito del procedimiento arbitral, garantizando que no existan perjuicios injustos para las partes y </w:t>
      </w:r>
      <w:r w:rsidR="00B97CC3" w:rsidRPr="008D6D6A">
        <w:rPr>
          <w:rFonts w:ascii="Verdana" w:hAnsi="Verdana" w:cs="Times New Roman"/>
          <w:sz w:val="20"/>
          <w:szCs w:val="20"/>
        </w:rPr>
        <w:t>la igualdad entre ellas</w:t>
      </w:r>
      <w:r w:rsidR="00122D63" w:rsidRPr="008D6D6A">
        <w:rPr>
          <w:rFonts w:ascii="Verdana" w:hAnsi="Verdana" w:cs="Times New Roman"/>
          <w:sz w:val="20"/>
          <w:szCs w:val="20"/>
        </w:rPr>
        <w:t>,</w:t>
      </w:r>
      <w:r w:rsidR="00D54A6E" w:rsidRPr="008D6D6A">
        <w:rPr>
          <w:rFonts w:ascii="Verdana" w:hAnsi="Verdana" w:cs="Times New Roman"/>
          <w:sz w:val="20"/>
          <w:szCs w:val="20"/>
        </w:rPr>
        <w:t xml:space="preserve"> </w:t>
      </w:r>
      <w:r w:rsidR="005018D8" w:rsidRPr="008D6D6A">
        <w:rPr>
          <w:rFonts w:ascii="Verdana" w:hAnsi="Verdana" w:cs="Times New Roman"/>
          <w:sz w:val="20"/>
          <w:szCs w:val="20"/>
        </w:rPr>
        <w:t>ya</w:t>
      </w:r>
      <w:r w:rsidR="004E6D7C" w:rsidRPr="008D6D6A">
        <w:rPr>
          <w:rFonts w:ascii="Verdana" w:hAnsi="Verdana" w:cs="Times New Roman"/>
          <w:sz w:val="20"/>
          <w:szCs w:val="20"/>
        </w:rPr>
        <w:t xml:space="preserve"> que</w:t>
      </w:r>
      <w:r w:rsidR="00CF5278" w:rsidRPr="008D6D6A">
        <w:rPr>
          <w:rFonts w:ascii="Verdana" w:hAnsi="Verdana" w:cs="Times New Roman"/>
          <w:sz w:val="20"/>
          <w:szCs w:val="20"/>
        </w:rPr>
        <w:t xml:space="preserve"> las </w:t>
      </w:r>
      <w:r w:rsidR="00596CEE" w:rsidRPr="008D6D6A">
        <w:rPr>
          <w:rFonts w:ascii="Verdana" w:hAnsi="Verdana" w:cs="Times New Roman"/>
          <w:sz w:val="20"/>
          <w:szCs w:val="20"/>
        </w:rPr>
        <w:t>P</w:t>
      </w:r>
      <w:r w:rsidR="00122D63" w:rsidRPr="008D6D6A">
        <w:rPr>
          <w:rFonts w:ascii="Verdana" w:hAnsi="Verdana" w:cs="Times New Roman"/>
          <w:sz w:val="20"/>
          <w:szCs w:val="20"/>
        </w:rPr>
        <w:t>artes contendientes</w:t>
      </w:r>
      <w:r w:rsidR="00CF5278" w:rsidRPr="008D6D6A">
        <w:rPr>
          <w:rFonts w:ascii="Verdana" w:hAnsi="Verdana" w:cs="Times New Roman"/>
          <w:sz w:val="20"/>
          <w:szCs w:val="20"/>
        </w:rPr>
        <w:t xml:space="preserve"> tienen </w:t>
      </w:r>
      <w:r w:rsidR="00D54A6E" w:rsidRPr="008D6D6A">
        <w:rPr>
          <w:rFonts w:ascii="Verdana" w:hAnsi="Verdana" w:cs="Times New Roman"/>
          <w:sz w:val="20"/>
          <w:szCs w:val="20"/>
        </w:rPr>
        <w:t xml:space="preserve">la oportunidad </w:t>
      </w:r>
      <w:r w:rsidR="00B97CC3" w:rsidRPr="008D6D6A">
        <w:rPr>
          <w:rFonts w:ascii="Verdana" w:hAnsi="Verdana" w:cs="Times New Roman"/>
          <w:sz w:val="20"/>
          <w:szCs w:val="20"/>
        </w:rPr>
        <w:t xml:space="preserve">de presentar sus alegaciones en </w:t>
      </w:r>
      <w:r w:rsidR="00D54A6E" w:rsidRPr="008D6D6A">
        <w:rPr>
          <w:rFonts w:ascii="Verdana" w:hAnsi="Verdana" w:cs="Times New Roman"/>
          <w:sz w:val="20"/>
          <w:szCs w:val="20"/>
        </w:rPr>
        <w:t>contra</w:t>
      </w:r>
      <w:r w:rsidR="00B97CC3" w:rsidRPr="008D6D6A">
        <w:rPr>
          <w:rFonts w:ascii="Verdana" w:hAnsi="Verdana" w:cs="Times New Roman"/>
          <w:sz w:val="20"/>
          <w:szCs w:val="20"/>
        </w:rPr>
        <w:t xml:space="preserve"> o a favor</w:t>
      </w:r>
      <w:r w:rsidR="00D54A6E" w:rsidRPr="008D6D6A">
        <w:rPr>
          <w:rFonts w:ascii="Verdana" w:hAnsi="Verdana" w:cs="Times New Roman"/>
          <w:sz w:val="20"/>
          <w:szCs w:val="20"/>
        </w:rPr>
        <w:t xml:space="preserve"> de los escritos </w:t>
      </w:r>
      <w:r w:rsidR="000C0751" w:rsidRPr="008D6D6A">
        <w:rPr>
          <w:rFonts w:ascii="Verdana" w:hAnsi="Verdana" w:cs="Times New Roman"/>
          <w:sz w:val="20"/>
          <w:szCs w:val="20"/>
        </w:rPr>
        <w:t>presentados por terceros.</w:t>
      </w:r>
    </w:p>
    <w:p w:rsidR="00E45E1F" w:rsidRDefault="00E45E1F" w:rsidP="006D3AD5">
      <w:pPr>
        <w:pStyle w:val="Contenidodelatabla"/>
        <w:spacing w:line="240" w:lineRule="auto"/>
        <w:rPr>
          <w:rFonts w:ascii="Verdana" w:hAnsi="Verdana" w:cs="Times New Roman"/>
          <w:sz w:val="20"/>
          <w:szCs w:val="20"/>
        </w:rPr>
      </w:pPr>
    </w:p>
    <w:p w:rsidR="00AF61E1" w:rsidRPr="008D6D6A" w:rsidRDefault="00E0258A" w:rsidP="006D3AD5">
      <w:pPr>
        <w:pStyle w:val="Contenidodelatabla"/>
        <w:spacing w:line="240" w:lineRule="auto"/>
        <w:ind w:firstLine="0"/>
        <w:outlineLvl w:val="1"/>
        <w:rPr>
          <w:rFonts w:ascii="Verdana" w:hAnsi="Verdana" w:cs="Times New Roman"/>
          <w:b/>
          <w:sz w:val="20"/>
          <w:szCs w:val="20"/>
        </w:rPr>
      </w:pPr>
      <w:bookmarkStart w:id="50" w:name="_Toc536741925"/>
      <w:bookmarkStart w:id="51" w:name="_Toc1224447"/>
      <w:r w:rsidRPr="008D6D6A">
        <w:rPr>
          <w:rFonts w:ascii="Verdana" w:hAnsi="Verdana" w:cs="Times New Roman"/>
          <w:b/>
          <w:sz w:val="20"/>
          <w:szCs w:val="20"/>
        </w:rPr>
        <w:t xml:space="preserve">4.5 </w:t>
      </w:r>
      <w:r w:rsidR="00AF61E1" w:rsidRPr="008D6D6A">
        <w:rPr>
          <w:rFonts w:ascii="Verdana" w:hAnsi="Verdana" w:cs="Times New Roman"/>
          <w:b/>
          <w:sz w:val="20"/>
          <w:szCs w:val="20"/>
        </w:rPr>
        <w:t>Escritos presentados por partes en el tratado que</w:t>
      </w:r>
      <w:r w:rsidR="00D779BB" w:rsidRPr="008D6D6A">
        <w:rPr>
          <w:rFonts w:ascii="Verdana" w:hAnsi="Verdana" w:cs="Times New Roman"/>
          <w:b/>
          <w:sz w:val="20"/>
          <w:szCs w:val="20"/>
        </w:rPr>
        <w:t xml:space="preserve"> no sean litigantes.</w:t>
      </w:r>
      <w:bookmarkEnd w:id="50"/>
      <w:bookmarkEnd w:id="51"/>
      <w:r w:rsidR="00D779BB" w:rsidRPr="008D6D6A">
        <w:rPr>
          <w:rFonts w:ascii="Verdana" w:hAnsi="Verdana" w:cs="Times New Roman"/>
          <w:b/>
          <w:sz w:val="20"/>
          <w:szCs w:val="20"/>
        </w:rPr>
        <w:t xml:space="preserve"> </w:t>
      </w:r>
    </w:p>
    <w:p w:rsidR="005B7CE3" w:rsidRPr="008D6D6A" w:rsidRDefault="001E1044"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Una de las cuestiones trascendentales respecto a la participación de</w:t>
      </w:r>
      <w:r w:rsidR="00FE4617" w:rsidRPr="008D6D6A">
        <w:rPr>
          <w:rFonts w:ascii="Verdana" w:hAnsi="Verdana" w:cs="Times New Roman"/>
          <w:sz w:val="20"/>
          <w:szCs w:val="20"/>
        </w:rPr>
        <w:t xml:space="preserve"> terceros</w:t>
      </w:r>
      <w:r w:rsidR="009F3740" w:rsidRPr="008D6D6A">
        <w:rPr>
          <w:rFonts w:ascii="Verdana" w:hAnsi="Verdana" w:cs="Times New Roman"/>
          <w:sz w:val="20"/>
          <w:szCs w:val="20"/>
        </w:rPr>
        <w:t xml:space="preserve"> en el arbitraje de inversiones,</w:t>
      </w:r>
      <w:r w:rsidR="00FE4617" w:rsidRPr="008D6D6A">
        <w:rPr>
          <w:rFonts w:ascii="Verdana" w:hAnsi="Verdana" w:cs="Times New Roman"/>
          <w:sz w:val="20"/>
          <w:szCs w:val="20"/>
        </w:rPr>
        <w:t xml:space="preserve"> es </w:t>
      </w:r>
      <w:r w:rsidR="00EF2315" w:rsidRPr="008D6D6A">
        <w:rPr>
          <w:rFonts w:ascii="Verdana" w:hAnsi="Verdana" w:cs="Times New Roman"/>
          <w:sz w:val="20"/>
          <w:szCs w:val="20"/>
        </w:rPr>
        <w:t xml:space="preserve">la </w:t>
      </w:r>
      <w:r w:rsidR="00FE4617" w:rsidRPr="008D6D6A">
        <w:rPr>
          <w:rFonts w:ascii="Verdana" w:hAnsi="Verdana" w:cs="Times New Roman"/>
          <w:sz w:val="20"/>
          <w:szCs w:val="20"/>
        </w:rPr>
        <w:t xml:space="preserve">referente a </w:t>
      </w:r>
      <w:r w:rsidR="005B57F9" w:rsidRPr="008D6D6A">
        <w:rPr>
          <w:rFonts w:ascii="Verdana" w:hAnsi="Verdana" w:cs="Times New Roman"/>
          <w:sz w:val="20"/>
          <w:szCs w:val="20"/>
        </w:rPr>
        <w:t xml:space="preserve">la </w:t>
      </w:r>
      <w:r w:rsidR="00FE4617" w:rsidRPr="008D6D6A">
        <w:rPr>
          <w:rFonts w:ascii="Verdana" w:hAnsi="Verdana" w:cs="Times New Roman"/>
          <w:sz w:val="20"/>
          <w:szCs w:val="20"/>
        </w:rPr>
        <w:t xml:space="preserve">participación </w:t>
      </w:r>
      <w:r w:rsidR="005B57F9" w:rsidRPr="008D6D6A">
        <w:rPr>
          <w:rFonts w:ascii="Verdana" w:hAnsi="Verdana" w:cs="Times New Roman"/>
          <w:sz w:val="20"/>
          <w:szCs w:val="20"/>
        </w:rPr>
        <w:t xml:space="preserve">o intervención </w:t>
      </w:r>
      <w:r w:rsidR="00FE4617" w:rsidRPr="008D6D6A">
        <w:rPr>
          <w:rFonts w:ascii="Verdana" w:hAnsi="Verdana" w:cs="Times New Roman"/>
          <w:sz w:val="20"/>
          <w:szCs w:val="20"/>
        </w:rPr>
        <w:t>de</w:t>
      </w:r>
      <w:r w:rsidRPr="008D6D6A">
        <w:rPr>
          <w:rFonts w:ascii="Verdana" w:hAnsi="Verdana" w:cs="Times New Roman"/>
          <w:sz w:val="20"/>
          <w:szCs w:val="20"/>
        </w:rPr>
        <w:t xml:space="preserve"> los Estados firmantes de</w:t>
      </w:r>
      <w:r w:rsidR="005B57F9" w:rsidRPr="008D6D6A">
        <w:rPr>
          <w:rFonts w:ascii="Verdana" w:hAnsi="Verdana" w:cs="Times New Roman"/>
          <w:sz w:val="20"/>
          <w:szCs w:val="20"/>
        </w:rPr>
        <w:t xml:space="preserve">l tratado </w:t>
      </w:r>
      <w:r w:rsidR="00EF2315" w:rsidRPr="008D6D6A">
        <w:rPr>
          <w:rFonts w:ascii="Verdana" w:hAnsi="Verdana" w:cs="Times New Roman"/>
          <w:sz w:val="20"/>
          <w:szCs w:val="20"/>
        </w:rPr>
        <w:t>que no tienen la condición de</w:t>
      </w:r>
      <w:r w:rsidR="005B57F9" w:rsidRPr="008D6D6A">
        <w:rPr>
          <w:rFonts w:ascii="Verdana" w:hAnsi="Verdana" w:cs="Times New Roman"/>
          <w:sz w:val="20"/>
          <w:szCs w:val="20"/>
        </w:rPr>
        <w:t xml:space="preserve"> </w:t>
      </w:r>
      <w:r w:rsidR="009F3740" w:rsidRPr="008D6D6A">
        <w:rPr>
          <w:rFonts w:ascii="Verdana" w:hAnsi="Verdana" w:cs="Times New Roman"/>
          <w:sz w:val="20"/>
          <w:szCs w:val="20"/>
        </w:rPr>
        <w:t>P</w:t>
      </w:r>
      <w:r w:rsidR="005B57F9" w:rsidRPr="008D6D6A">
        <w:rPr>
          <w:rFonts w:ascii="Verdana" w:hAnsi="Verdana" w:cs="Times New Roman"/>
          <w:sz w:val="20"/>
          <w:szCs w:val="20"/>
        </w:rPr>
        <w:t>artes</w:t>
      </w:r>
      <w:r w:rsidRPr="008D6D6A">
        <w:rPr>
          <w:rFonts w:ascii="Verdana" w:hAnsi="Verdana" w:cs="Times New Roman"/>
          <w:sz w:val="20"/>
          <w:szCs w:val="20"/>
        </w:rPr>
        <w:t xml:space="preserve"> contendi</w:t>
      </w:r>
      <w:r w:rsidR="005B57F9" w:rsidRPr="008D6D6A">
        <w:rPr>
          <w:rFonts w:ascii="Verdana" w:hAnsi="Verdana" w:cs="Times New Roman"/>
          <w:sz w:val="20"/>
          <w:szCs w:val="20"/>
        </w:rPr>
        <w:t>entes en la</w:t>
      </w:r>
      <w:r w:rsidRPr="008D6D6A">
        <w:rPr>
          <w:rFonts w:ascii="Verdana" w:hAnsi="Verdana" w:cs="Times New Roman"/>
          <w:sz w:val="20"/>
          <w:szCs w:val="20"/>
        </w:rPr>
        <w:t xml:space="preserve"> controversia</w:t>
      </w:r>
      <w:r w:rsidR="005B57F9" w:rsidRPr="008D6D6A">
        <w:rPr>
          <w:rFonts w:ascii="Verdana" w:hAnsi="Verdana" w:cs="Times New Roman"/>
          <w:sz w:val="20"/>
          <w:szCs w:val="20"/>
        </w:rPr>
        <w:t xml:space="preserve">. </w:t>
      </w:r>
      <w:r w:rsidR="00122D63" w:rsidRPr="008D6D6A">
        <w:rPr>
          <w:rFonts w:ascii="Verdana" w:hAnsi="Verdana" w:cs="Times New Roman"/>
          <w:sz w:val="20"/>
          <w:szCs w:val="20"/>
        </w:rPr>
        <w:t>E</w:t>
      </w:r>
      <w:r w:rsidR="00A169A5" w:rsidRPr="008D6D6A">
        <w:rPr>
          <w:rFonts w:ascii="Verdana" w:hAnsi="Verdana" w:cs="Times New Roman"/>
          <w:sz w:val="20"/>
          <w:szCs w:val="20"/>
        </w:rPr>
        <w:t>l apartado que nos ocupa</w:t>
      </w:r>
      <w:r w:rsidR="00F33293" w:rsidRPr="008D6D6A">
        <w:rPr>
          <w:rFonts w:ascii="Verdana" w:hAnsi="Verdana" w:cs="Times New Roman"/>
          <w:sz w:val="20"/>
          <w:szCs w:val="20"/>
        </w:rPr>
        <w:t xml:space="preserve"> </w:t>
      </w:r>
      <w:r w:rsidR="0012573B" w:rsidRPr="008D6D6A">
        <w:rPr>
          <w:rFonts w:ascii="Verdana" w:hAnsi="Verdana" w:cs="Times New Roman"/>
          <w:sz w:val="20"/>
          <w:szCs w:val="20"/>
        </w:rPr>
        <w:t xml:space="preserve">reconoce la </w:t>
      </w:r>
      <w:r w:rsidR="003A238C" w:rsidRPr="008D6D6A">
        <w:rPr>
          <w:rFonts w:ascii="Verdana" w:hAnsi="Verdana" w:cs="Times New Roman"/>
          <w:sz w:val="20"/>
          <w:szCs w:val="20"/>
        </w:rPr>
        <w:t>posibilidad de que los Estados P</w:t>
      </w:r>
      <w:r w:rsidR="0012573B" w:rsidRPr="008D6D6A">
        <w:rPr>
          <w:rFonts w:ascii="Verdana" w:hAnsi="Verdana" w:cs="Times New Roman"/>
          <w:sz w:val="20"/>
          <w:szCs w:val="20"/>
        </w:rPr>
        <w:t>artes del tratado, pero no de la controversia</w:t>
      </w:r>
      <w:r w:rsidR="00A169A5" w:rsidRPr="008D6D6A">
        <w:rPr>
          <w:rFonts w:ascii="Verdana" w:hAnsi="Verdana" w:cs="Times New Roman"/>
          <w:sz w:val="20"/>
          <w:szCs w:val="20"/>
        </w:rPr>
        <w:t>,</w:t>
      </w:r>
      <w:r w:rsidR="0012573B" w:rsidRPr="008D6D6A">
        <w:rPr>
          <w:rFonts w:ascii="Verdana" w:hAnsi="Verdana" w:cs="Times New Roman"/>
          <w:sz w:val="20"/>
          <w:szCs w:val="20"/>
        </w:rPr>
        <w:t xml:space="preserve"> puedan presentar comunicaciones escritas al</w:t>
      </w:r>
      <w:r w:rsidR="00B1349E" w:rsidRPr="008D6D6A">
        <w:rPr>
          <w:rFonts w:ascii="Verdana" w:hAnsi="Verdana" w:cs="Times New Roman"/>
          <w:sz w:val="20"/>
          <w:szCs w:val="20"/>
        </w:rPr>
        <w:t xml:space="preserve"> tribunal arbitral. De ésta manera</w:t>
      </w:r>
      <w:r w:rsidR="0012573B" w:rsidRPr="008D6D6A">
        <w:rPr>
          <w:rFonts w:ascii="Verdana" w:hAnsi="Verdana" w:cs="Times New Roman"/>
          <w:sz w:val="20"/>
          <w:szCs w:val="20"/>
        </w:rPr>
        <w:t xml:space="preserve">, el propio tribunal puede invitar </w:t>
      </w:r>
      <w:r w:rsidR="00122D63" w:rsidRPr="008D6D6A">
        <w:rPr>
          <w:rFonts w:ascii="Verdana" w:hAnsi="Verdana" w:cs="Times New Roman"/>
          <w:sz w:val="20"/>
          <w:szCs w:val="20"/>
        </w:rPr>
        <w:t xml:space="preserve">a </w:t>
      </w:r>
      <w:r w:rsidR="0012573B" w:rsidRPr="008D6D6A">
        <w:rPr>
          <w:rFonts w:ascii="Verdana" w:hAnsi="Verdana" w:cs="Times New Roman"/>
          <w:sz w:val="20"/>
          <w:szCs w:val="20"/>
        </w:rPr>
        <w:t xml:space="preserve">aquellas partes del tratado que no sean </w:t>
      </w:r>
      <w:r w:rsidR="009F3740" w:rsidRPr="008D6D6A">
        <w:rPr>
          <w:rFonts w:ascii="Verdana" w:hAnsi="Verdana" w:cs="Times New Roman"/>
          <w:sz w:val="20"/>
          <w:szCs w:val="20"/>
        </w:rPr>
        <w:t>p</w:t>
      </w:r>
      <w:r w:rsidR="0012573B" w:rsidRPr="008D6D6A">
        <w:rPr>
          <w:rFonts w:ascii="Verdana" w:hAnsi="Verdana" w:cs="Times New Roman"/>
          <w:sz w:val="20"/>
          <w:szCs w:val="20"/>
        </w:rPr>
        <w:t>arte</w:t>
      </w:r>
      <w:r w:rsidR="009F3740" w:rsidRPr="008D6D6A">
        <w:rPr>
          <w:rFonts w:ascii="Verdana" w:hAnsi="Verdana" w:cs="Times New Roman"/>
          <w:sz w:val="20"/>
          <w:szCs w:val="20"/>
        </w:rPr>
        <w:t>s</w:t>
      </w:r>
      <w:r w:rsidR="0012573B" w:rsidRPr="008D6D6A">
        <w:rPr>
          <w:rFonts w:ascii="Verdana" w:hAnsi="Verdana" w:cs="Times New Roman"/>
          <w:sz w:val="20"/>
          <w:szCs w:val="20"/>
        </w:rPr>
        <w:t xml:space="preserve"> de la controversia a presentar escritos relativos a la interpretación del tratado</w:t>
      </w:r>
      <w:r w:rsidR="0012573B" w:rsidRPr="008D6D6A">
        <w:rPr>
          <w:rStyle w:val="Refdenotaalpie"/>
          <w:rFonts w:ascii="Verdana" w:hAnsi="Verdana" w:cs="Times New Roman"/>
          <w:sz w:val="20"/>
          <w:szCs w:val="20"/>
        </w:rPr>
        <w:footnoteReference w:id="94"/>
      </w:r>
      <w:r w:rsidR="00585D8B" w:rsidRPr="008D6D6A">
        <w:rPr>
          <w:rFonts w:ascii="Verdana" w:hAnsi="Verdana" w:cs="Times New Roman"/>
          <w:sz w:val="20"/>
          <w:szCs w:val="20"/>
        </w:rPr>
        <w:t xml:space="preserve">. </w:t>
      </w:r>
    </w:p>
    <w:p w:rsidR="00BB5402" w:rsidRPr="008D6D6A" w:rsidRDefault="005B7CE3"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En tal</w:t>
      </w:r>
      <w:r w:rsidR="001E1044" w:rsidRPr="008D6D6A">
        <w:rPr>
          <w:rFonts w:ascii="Verdana" w:hAnsi="Verdana" w:cs="Times New Roman"/>
          <w:sz w:val="20"/>
          <w:szCs w:val="20"/>
        </w:rPr>
        <w:t xml:space="preserve"> sentido,</w:t>
      </w:r>
      <w:r w:rsidR="00F257CD" w:rsidRPr="008D6D6A">
        <w:rPr>
          <w:rFonts w:ascii="Verdana" w:hAnsi="Verdana" w:cs="Times New Roman"/>
          <w:sz w:val="20"/>
          <w:szCs w:val="20"/>
        </w:rPr>
        <w:t xml:space="preserve"> el Estado no P</w:t>
      </w:r>
      <w:r w:rsidR="003565BC" w:rsidRPr="008D6D6A">
        <w:rPr>
          <w:rFonts w:ascii="Verdana" w:hAnsi="Verdana" w:cs="Times New Roman"/>
          <w:sz w:val="20"/>
          <w:szCs w:val="20"/>
        </w:rPr>
        <w:t xml:space="preserve">arte </w:t>
      </w:r>
      <w:r w:rsidR="001E1044" w:rsidRPr="008D6D6A">
        <w:rPr>
          <w:rFonts w:ascii="Verdana" w:hAnsi="Verdana" w:cs="Times New Roman"/>
          <w:sz w:val="20"/>
          <w:szCs w:val="20"/>
        </w:rPr>
        <w:t>e</w:t>
      </w:r>
      <w:r w:rsidR="003565BC" w:rsidRPr="008D6D6A">
        <w:rPr>
          <w:rFonts w:ascii="Verdana" w:hAnsi="Verdana" w:cs="Times New Roman"/>
          <w:sz w:val="20"/>
          <w:szCs w:val="20"/>
        </w:rPr>
        <w:t>n</w:t>
      </w:r>
      <w:r w:rsidR="001E1044" w:rsidRPr="008D6D6A">
        <w:rPr>
          <w:rFonts w:ascii="Verdana" w:hAnsi="Verdana" w:cs="Times New Roman"/>
          <w:sz w:val="20"/>
          <w:szCs w:val="20"/>
        </w:rPr>
        <w:t xml:space="preserve"> la controversia tiene debid</w:t>
      </w:r>
      <w:r w:rsidR="005A405C" w:rsidRPr="008D6D6A">
        <w:rPr>
          <w:rFonts w:ascii="Verdana" w:hAnsi="Verdana" w:cs="Times New Roman"/>
          <w:sz w:val="20"/>
          <w:szCs w:val="20"/>
        </w:rPr>
        <w:t>amente un papel importante en el</w:t>
      </w:r>
      <w:r w:rsidR="001E1044" w:rsidRPr="008D6D6A">
        <w:rPr>
          <w:rFonts w:ascii="Verdana" w:hAnsi="Verdana" w:cs="Times New Roman"/>
          <w:sz w:val="20"/>
          <w:szCs w:val="20"/>
        </w:rPr>
        <w:t xml:space="preserve"> caso. </w:t>
      </w:r>
      <w:r w:rsidR="00BE7393" w:rsidRPr="008D6D6A">
        <w:rPr>
          <w:rFonts w:ascii="Verdana" w:hAnsi="Verdana" w:cs="Times New Roman"/>
          <w:sz w:val="20"/>
          <w:szCs w:val="20"/>
        </w:rPr>
        <w:t xml:space="preserve">Una </w:t>
      </w:r>
      <w:r w:rsidRPr="008D6D6A">
        <w:rPr>
          <w:rFonts w:ascii="Verdana" w:hAnsi="Verdana" w:cs="Times New Roman"/>
          <w:sz w:val="20"/>
          <w:szCs w:val="20"/>
        </w:rPr>
        <w:t>justificada</w:t>
      </w:r>
      <w:r w:rsidR="005A405C" w:rsidRPr="008D6D6A">
        <w:rPr>
          <w:rFonts w:ascii="Verdana" w:hAnsi="Verdana" w:cs="Times New Roman"/>
          <w:sz w:val="20"/>
          <w:szCs w:val="20"/>
        </w:rPr>
        <w:t xml:space="preserve"> razón para que los Estados </w:t>
      </w:r>
      <w:r w:rsidR="00F257CD" w:rsidRPr="008D6D6A">
        <w:rPr>
          <w:rFonts w:ascii="Verdana" w:hAnsi="Verdana" w:cs="Times New Roman"/>
          <w:sz w:val="20"/>
          <w:szCs w:val="20"/>
        </w:rPr>
        <w:t xml:space="preserve">no </w:t>
      </w:r>
      <w:r w:rsidR="009F5227" w:rsidRPr="008D6D6A">
        <w:rPr>
          <w:rFonts w:ascii="Verdana" w:hAnsi="Verdana" w:cs="Times New Roman"/>
          <w:sz w:val="20"/>
          <w:szCs w:val="20"/>
        </w:rPr>
        <w:t xml:space="preserve">contendientes </w:t>
      </w:r>
      <w:r w:rsidR="005A405C" w:rsidRPr="008D6D6A">
        <w:rPr>
          <w:rFonts w:ascii="Verdana" w:hAnsi="Verdana" w:cs="Times New Roman"/>
          <w:sz w:val="20"/>
          <w:szCs w:val="20"/>
        </w:rPr>
        <w:t>participen es que son parte</w:t>
      </w:r>
      <w:r w:rsidR="003A238C" w:rsidRPr="008D6D6A">
        <w:rPr>
          <w:rFonts w:ascii="Verdana" w:hAnsi="Verdana" w:cs="Times New Roman"/>
          <w:sz w:val="20"/>
          <w:szCs w:val="20"/>
        </w:rPr>
        <w:t>s</w:t>
      </w:r>
      <w:r w:rsidR="005A405C" w:rsidRPr="008D6D6A">
        <w:rPr>
          <w:rFonts w:ascii="Verdana" w:hAnsi="Verdana" w:cs="Times New Roman"/>
          <w:sz w:val="20"/>
          <w:szCs w:val="20"/>
        </w:rPr>
        <w:t xml:space="preserve"> en el tr</w:t>
      </w:r>
      <w:r w:rsidR="00984914">
        <w:rPr>
          <w:rFonts w:ascii="Verdana" w:hAnsi="Verdana" w:cs="Times New Roman"/>
          <w:sz w:val="20"/>
          <w:szCs w:val="20"/>
        </w:rPr>
        <w:t>atado que se está interpretando</w:t>
      </w:r>
      <w:r w:rsidR="003A238C" w:rsidRPr="008D6D6A">
        <w:rPr>
          <w:rFonts w:ascii="Verdana" w:hAnsi="Verdana" w:cs="Times New Roman"/>
          <w:sz w:val="20"/>
          <w:szCs w:val="20"/>
        </w:rPr>
        <w:t xml:space="preserve"> y, como tal,</w:t>
      </w:r>
      <w:r w:rsidR="005A405C" w:rsidRPr="008D6D6A">
        <w:rPr>
          <w:rFonts w:ascii="Verdana" w:hAnsi="Verdana" w:cs="Times New Roman"/>
          <w:sz w:val="20"/>
          <w:szCs w:val="20"/>
        </w:rPr>
        <w:t xml:space="preserve"> </w:t>
      </w:r>
      <w:r w:rsidR="000F4F91" w:rsidRPr="008D6D6A">
        <w:rPr>
          <w:rFonts w:ascii="Verdana" w:hAnsi="Verdana" w:cs="Times New Roman"/>
          <w:sz w:val="20"/>
          <w:szCs w:val="20"/>
        </w:rPr>
        <w:t>poseen</w:t>
      </w:r>
      <w:r w:rsidR="005A405C" w:rsidRPr="008D6D6A">
        <w:rPr>
          <w:rFonts w:ascii="Verdana" w:hAnsi="Verdana" w:cs="Times New Roman"/>
          <w:sz w:val="20"/>
          <w:szCs w:val="20"/>
        </w:rPr>
        <w:t xml:space="preserve"> la experiencia</w:t>
      </w:r>
      <w:r w:rsidR="009F5227" w:rsidRPr="008D6D6A">
        <w:rPr>
          <w:rFonts w:ascii="Verdana" w:hAnsi="Verdana" w:cs="Times New Roman"/>
          <w:sz w:val="20"/>
          <w:szCs w:val="20"/>
        </w:rPr>
        <w:t xml:space="preserve"> de haber negociado el tratado,</w:t>
      </w:r>
      <w:r w:rsidR="005A405C" w:rsidRPr="008D6D6A">
        <w:rPr>
          <w:rFonts w:ascii="Verdana" w:hAnsi="Verdana" w:cs="Times New Roman"/>
          <w:sz w:val="20"/>
          <w:szCs w:val="20"/>
        </w:rPr>
        <w:t xml:space="preserve"> tienen una perspectiva única sobre cómo debe interpretars</w:t>
      </w:r>
      <w:r w:rsidR="008B3E69" w:rsidRPr="008D6D6A">
        <w:rPr>
          <w:rFonts w:ascii="Verdana" w:hAnsi="Verdana" w:cs="Times New Roman"/>
          <w:sz w:val="20"/>
          <w:szCs w:val="20"/>
        </w:rPr>
        <w:t>e el mismo</w:t>
      </w:r>
      <w:r w:rsidR="00A42908" w:rsidRPr="008D6D6A">
        <w:rPr>
          <w:rFonts w:ascii="Verdana" w:hAnsi="Verdana" w:cs="Times New Roman"/>
          <w:sz w:val="20"/>
          <w:szCs w:val="20"/>
        </w:rPr>
        <w:t>, logrando también una mejor previsibilidad de las normas en el procedimiento</w:t>
      </w:r>
      <w:r w:rsidR="00A42908" w:rsidRPr="008D6D6A">
        <w:rPr>
          <w:rStyle w:val="Refdenotaalpie"/>
          <w:rFonts w:ascii="Verdana" w:hAnsi="Verdana" w:cs="Times New Roman"/>
          <w:sz w:val="20"/>
          <w:szCs w:val="20"/>
        </w:rPr>
        <w:footnoteReference w:id="95"/>
      </w:r>
      <w:r w:rsidR="008B3E69" w:rsidRPr="008D6D6A">
        <w:rPr>
          <w:rFonts w:ascii="Verdana" w:hAnsi="Verdana" w:cs="Times New Roman"/>
          <w:sz w:val="20"/>
          <w:szCs w:val="20"/>
        </w:rPr>
        <w:t>. Lo que le permite</w:t>
      </w:r>
      <w:r w:rsidR="005A405C" w:rsidRPr="008D6D6A">
        <w:rPr>
          <w:rFonts w:ascii="Verdana" w:hAnsi="Verdana" w:cs="Times New Roman"/>
          <w:sz w:val="20"/>
          <w:szCs w:val="20"/>
        </w:rPr>
        <w:t xml:space="preserve"> al tribunal</w:t>
      </w:r>
      <w:r w:rsidR="00794E69" w:rsidRPr="008D6D6A">
        <w:rPr>
          <w:rFonts w:ascii="Verdana" w:hAnsi="Verdana" w:cs="Times New Roman"/>
          <w:sz w:val="20"/>
          <w:szCs w:val="20"/>
        </w:rPr>
        <w:t xml:space="preserve"> arbitral tener mayor conocimiento respecto a la interpretación del tratado y </w:t>
      </w:r>
      <w:r w:rsidR="00A42908" w:rsidRPr="008D6D6A">
        <w:rPr>
          <w:rFonts w:ascii="Verdana" w:hAnsi="Verdana" w:cs="Times New Roman"/>
          <w:sz w:val="20"/>
          <w:szCs w:val="20"/>
        </w:rPr>
        <w:t>“</w:t>
      </w:r>
      <w:r w:rsidR="00794E69" w:rsidRPr="008D6D6A">
        <w:rPr>
          <w:rFonts w:ascii="Verdana" w:hAnsi="Verdana" w:cs="Times New Roman"/>
          <w:sz w:val="20"/>
          <w:szCs w:val="20"/>
        </w:rPr>
        <w:t>lograr una mayor coherencia interpretativa del mismo</w:t>
      </w:r>
      <w:r w:rsidR="00A42908" w:rsidRPr="008D6D6A">
        <w:rPr>
          <w:rFonts w:ascii="Verdana" w:hAnsi="Verdana" w:cs="Times New Roman"/>
          <w:sz w:val="20"/>
          <w:szCs w:val="20"/>
        </w:rPr>
        <w:t>”</w:t>
      </w:r>
      <w:r w:rsidR="00E830BD" w:rsidRPr="008D6D6A">
        <w:rPr>
          <w:rStyle w:val="Refdenotaalpie"/>
          <w:rFonts w:ascii="Verdana" w:hAnsi="Verdana" w:cs="Times New Roman"/>
          <w:sz w:val="20"/>
          <w:szCs w:val="20"/>
        </w:rPr>
        <w:footnoteReference w:id="96"/>
      </w:r>
      <w:r w:rsidR="00794E69" w:rsidRPr="008D6D6A">
        <w:rPr>
          <w:rFonts w:ascii="Verdana" w:hAnsi="Verdana" w:cs="Times New Roman"/>
          <w:sz w:val="20"/>
          <w:szCs w:val="20"/>
        </w:rPr>
        <w:t>.</w:t>
      </w:r>
      <w:r w:rsidR="005A405C" w:rsidRPr="008D6D6A">
        <w:rPr>
          <w:rFonts w:ascii="Verdana" w:hAnsi="Verdana" w:cs="Times New Roman"/>
          <w:sz w:val="20"/>
          <w:szCs w:val="20"/>
        </w:rPr>
        <w:t xml:space="preserve"> </w:t>
      </w:r>
      <w:r w:rsidR="004E407F" w:rsidRPr="008D6D6A">
        <w:rPr>
          <w:rFonts w:ascii="Verdana" w:hAnsi="Verdana" w:cs="Times New Roman"/>
          <w:sz w:val="20"/>
          <w:szCs w:val="20"/>
        </w:rPr>
        <w:t>La norma del</w:t>
      </w:r>
      <w:r w:rsidR="00585D8B" w:rsidRPr="008D6D6A">
        <w:rPr>
          <w:rFonts w:ascii="Verdana" w:hAnsi="Verdana" w:cs="Times New Roman"/>
          <w:sz w:val="20"/>
          <w:szCs w:val="20"/>
        </w:rPr>
        <w:t xml:space="preserve"> </w:t>
      </w:r>
      <w:r w:rsidR="00985DE5" w:rsidRPr="008D6D6A">
        <w:rPr>
          <w:rFonts w:ascii="Verdana" w:hAnsi="Verdana" w:cs="Times New Roman"/>
          <w:sz w:val="20"/>
          <w:szCs w:val="20"/>
        </w:rPr>
        <w:t xml:space="preserve">Reglamento </w:t>
      </w:r>
      <w:r w:rsidR="004E407F" w:rsidRPr="008D6D6A">
        <w:rPr>
          <w:rFonts w:ascii="Verdana" w:hAnsi="Verdana" w:cs="Times New Roman"/>
          <w:sz w:val="20"/>
          <w:szCs w:val="20"/>
        </w:rPr>
        <w:t>que analizamos está inspirada</w:t>
      </w:r>
      <w:r w:rsidR="00585D8B" w:rsidRPr="008D6D6A">
        <w:rPr>
          <w:rFonts w:ascii="Verdana" w:hAnsi="Verdana" w:cs="Times New Roman"/>
          <w:sz w:val="20"/>
          <w:szCs w:val="20"/>
        </w:rPr>
        <w:t xml:space="preserve"> en el pro</w:t>
      </w:r>
      <w:r w:rsidR="00C41788" w:rsidRPr="008D6D6A">
        <w:rPr>
          <w:rFonts w:ascii="Verdana" w:hAnsi="Verdana" w:cs="Times New Roman"/>
          <w:sz w:val="20"/>
          <w:szCs w:val="20"/>
        </w:rPr>
        <w:t>cedimiento establecido en el artículo</w:t>
      </w:r>
      <w:r w:rsidR="00585D8B" w:rsidRPr="008D6D6A">
        <w:rPr>
          <w:rFonts w:ascii="Verdana" w:hAnsi="Verdana" w:cs="Times New Roman"/>
          <w:sz w:val="20"/>
          <w:szCs w:val="20"/>
        </w:rPr>
        <w:t xml:space="preserve"> 1128 del TLCAN. Sin embargo, mientras que la participación de los Estados Partes no contendientes está concebida como un </w:t>
      </w:r>
      <w:r w:rsidR="00C744A0" w:rsidRPr="008D6D6A">
        <w:rPr>
          <w:rFonts w:ascii="Verdana" w:hAnsi="Verdana" w:cs="Times New Roman"/>
          <w:sz w:val="20"/>
          <w:szCs w:val="20"/>
        </w:rPr>
        <w:t>derecho en el TLCAN, el</w:t>
      </w:r>
      <w:r w:rsidR="00585D8B" w:rsidRPr="008D6D6A">
        <w:rPr>
          <w:rFonts w:ascii="Verdana" w:hAnsi="Verdana" w:cs="Times New Roman"/>
          <w:sz w:val="20"/>
          <w:szCs w:val="20"/>
        </w:rPr>
        <w:t xml:space="preserve"> precepto del Reglamento</w:t>
      </w:r>
      <w:r w:rsidR="00C744A0" w:rsidRPr="008D6D6A">
        <w:rPr>
          <w:rFonts w:ascii="Verdana" w:hAnsi="Verdana" w:cs="Times New Roman"/>
          <w:sz w:val="20"/>
          <w:szCs w:val="20"/>
        </w:rPr>
        <w:t xml:space="preserve"> que nos ocupa</w:t>
      </w:r>
      <w:r w:rsidR="00585D8B" w:rsidRPr="008D6D6A">
        <w:rPr>
          <w:rFonts w:ascii="Verdana" w:hAnsi="Verdana" w:cs="Times New Roman"/>
          <w:sz w:val="20"/>
          <w:szCs w:val="20"/>
        </w:rPr>
        <w:t xml:space="preserve"> establece un límite a la participación de dichos Estados</w:t>
      </w:r>
      <w:r w:rsidR="00E66D37" w:rsidRPr="008D6D6A">
        <w:rPr>
          <w:rFonts w:ascii="Verdana" w:hAnsi="Verdana" w:cs="Times New Roman"/>
          <w:sz w:val="20"/>
          <w:szCs w:val="20"/>
        </w:rPr>
        <w:t xml:space="preserve"> Partes no contendientes</w:t>
      </w:r>
      <w:r w:rsidR="00585D8B" w:rsidRPr="008D6D6A">
        <w:rPr>
          <w:rFonts w:ascii="Verdana" w:hAnsi="Verdana" w:cs="Times New Roman"/>
          <w:sz w:val="20"/>
          <w:szCs w:val="20"/>
        </w:rPr>
        <w:t xml:space="preserve">, </w:t>
      </w:r>
      <w:r w:rsidR="00541B63" w:rsidRPr="008D6D6A">
        <w:rPr>
          <w:rFonts w:ascii="Verdana" w:hAnsi="Verdana" w:cs="Times New Roman"/>
          <w:sz w:val="20"/>
          <w:szCs w:val="20"/>
        </w:rPr>
        <w:t xml:space="preserve">reconociendo únicamente las presentaciones sobre cuestiones de interpretación del tratado concerniente bajo el cual el tribunal ha sido designado, </w:t>
      </w:r>
      <w:r w:rsidR="00585D8B" w:rsidRPr="008D6D6A">
        <w:rPr>
          <w:rFonts w:ascii="Verdana" w:hAnsi="Verdana" w:cs="Times New Roman"/>
          <w:sz w:val="20"/>
          <w:szCs w:val="20"/>
        </w:rPr>
        <w:t xml:space="preserve">dejando un amplio margen de discreción al tribunal para controlar la participación de </w:t>
      </w:r>
      <w:r w:rsidR="00541B63" w:rsidRPr="008D6D6A">
        <w:rPr>
          <w:rFonts w:ascii="Verdana" w:hAnsi="Verdana" w:cs="Times New Roman"/>
          <w:sz w:val="20"/>
          <w:szCs w:val="20"/>
        </w:rPr>
        <w:t xml:space="preserve">los </w:t>
      </w:r>
      <w:r w:rsidR="00585D8B" w:rsidRPr="008D6D6A">
        <w:rPr>
          <w:rFonts w:ascii="Verdana" w:hAnsi="Verdana" w:cs="Times New Roman"/>
          <w:sz w:val="20"/>
          <w:szCs w:val="20"/>
        </w:rPr>
        <w:t>Estados Par</w:t>
      </w:r>
      <w:r w:rsidR="00E66D37" w:rsidRPr="008D6D6A">
        <w:rPr>
          <w:rFonts w:ascii="Verdana" w:hAnsi="Verdana" w:cs="Times New Roman"/>
          <w:sz w:val="20"/>
          <w:szCs w:val="20"/>
        </w:rPr>
        <w:t>tes no litigantes</w:t>
      </w:r>
      <w:r w:rsidR="00585D8B" w:rsidRPr="008D6D6A">
        <w:rPr>
          <w:rFonts w:ascii="Verdana" w:hAnsi="Verdana" w:cs="Times New Roman"/>
          <w:sz w:val="20"/>
          <w:szCs w:val="20"/>
        </w:rPr>
        <w:t>.</w:t>
      </w:r>
    </w:p>
    <w:p w:rsidR="003D24BB" w:rsidRPr="008D6D6A" w:rsidRDefault="00541B63"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 </w:t>
      </w:r>
      <w:r w:rsidR="00BE7393" w:rsidRPr="008D6D6A">
        <w:rPr>
          <w:rFonts w:ascii="Verdana" w:hAnsi="Verdana" w:cs="Times New Roman"/>
          <w:sz w:val="20"/>
          <w:szCs w:val="20"/>
        </w:rPr>
        <w:t xml:space="preserve">La </w:t>
      </w:r>
      <w:r w:rsidR="009708F4" w:rsidRPr="008D6D6A">
        <w:rPr>
          <w:rFonts w:ascii="Verdana" w:hAnsi="Verdana" w:cs="Times New Roman"/>
          <w:sz w:val="20"/>
          <w:szCs w:val="20"/>
        </w:rPr>
        <w:t xml:space="preserve">legitimidad de la </w:t>
      </w:r>
      <w:r w:rsidR="00BE7393" w:rsidRPr="008D6D6A">
        <w:rPr>
          <w:rFonts w:ascii="Verdana" w:hAnsi="Verdana" w:cs="Times New Roman"/>
          <w:sz w:val="20"/>
          <w:szCs w:val="20"/>
        </w:rPr>
        <w:t>p</w:t>
      </w:r>
      <w:r w:rsidR="00BC3742" w:rsidRPr="008D6D6A">
        <w:rPr>
          <w:rFonts w:ascii="Verdana" w:hAnsi="Verdana" w:cs="Times New Roman"/>
          <w:sz w:val="20"/>
          <w:szCs w:val="20"/>
        </w:rPr>
        <w:t>articipación de los Estados no P</w:t>
      </w:r>
      <w:r w:rsidR="00BE7393" w:rsidRPr="008D6D6A">
        <w:rPr>
          <w:rFonts w:ascii="Verdana" w:hAnsi="Verdana" w:cs="Times New Roman"/>
          <w:sz w:val="20"/>
          <w:szCs w:val="20"/>
        </w:rPr>
        <w:t>artes en la controversia</w:t>
      </w:r>
      <w:r w:rsidR="002B47FF" w:rsidRPr="008D6D6A">
        <w:rPr>
          <w:rFonts w:ascii="Verdana" w:hAnsi="Verdana" w:cs="Times New Roman"/>
          <w:sz w:val="20"/>
          <w:szCs w:val="20"/>
        </w:rPr>
        <w:t>, pero sí del tratado</w:t>
      </w:r>
      <w:r w:rsidR="00444EB5" w:rsidRPr="008D6D6A">
        <w:rPr>
          <w:rFonts w:ascii="Verdana" w:hAnsi="Verdana" w:cs="Times New Roman"/>
          <w:sz w:val="20"/>
          <w:szCs w:val="20"/>
        </w:rPr>
        <w:t>,</w:t>
      </w:r>
      <w:r w:rsidR="00BE7393" w:rsidRPr="008D6D6A">
        <w:rPr>
          <w:rFonts w:ascii="Verdana" w:hAnsi="Verdana" w:cs="Times New Roman"/>
          <w:sz w:val="20"/>
          <w:szCs w:val="20"/>
        </w:rPr>
        <w:t xml:space="preserve"> deriva del hecho de que estos Estados son los únicos en disputa con obligaciones en </w:t>
      </w:r>
      <w:r w:rsidR="00111B38" w:rsidRPr="008D6D6A">
        <w:rPr>
          <w:rFonts w:ascii="Verdana" w:hAnsi="Verdana" w:cs="Times New Roman"/>
          <w:sz w:val="20"/>
          <w:szCs w:val="20"/>
        </w:rPr>
        <w:t xml:space="preserve">virtud de </w:t>
      </w:r>
      <w:r w:rsidR="007338AC" w:rsidRPr="008D6D6A">
        <w:rPr>
          <w:rFonts w:ascii="Verdana" w:hAnsi="Verdana" w:cs="Times New Roman"/>
          <w:sz w:val="20"/>
          <w:szCs w:val="20"/>
        </w:rPr>
        <w:t>tratados de inversión,</w:t>
      </w:r>
      <w:r w:rsidR="00BE7393" w:rsidRPr="008D6D6A">
        <w:rPr>
          <w:rFonts w:ascii="Verdana" w:hAnsi="Verdana" w:cs="Times New Roman"/>
          <w:sz w:val="20"/>
          <w:szCs w:val="20"/>
        </w:rPr>
        <w:t xml:space="preserve"> </w:t>
      </w:r>
      <w:r w:rsidR="007338AC" w:rsidRPr="008D6D6A">
        <w:rPr>
          <w:rFonts w:ascii="Verdana" w:hAnsi="Verdana" w:cs="Times New Roman"/>
          <w:sz w:val="20"/>
          <w:szCs w:val="20"/>
        </w:rPr>
        <w:t>e</w:t>
      </w:r>
      <w:r w:rsidR="00926D59" w:rsidRPr="008D6D6A">
        <w:rPr>
          <w:rFonts w:ascii="Verdana" w:hAnsi="Verdana" w:cs="Times New Roman"/>
          <w:sz w:val="20"/>
          <w:szCs w:val="20"/>
        </w:rPr>
        <w:t>n el cual</w:t>
      </w:r>
      <w:r w:rsidR="00111B38" w:rsidRPr="008D6D6A">
        <w:rPr>
          <w:rFonts w:ascii="Verdana" w:hAnsi="Verdana" w:cs="Times New Roman"/>
          <w:sz w:val="20"/>
          <w:szCs w:val="20"/>
        </w:rPr>
        <w:t xml:space="preserve"> los Estados Partes se comprometen a cumplir dichos tratados y deben garantizar continuamente que sus medidas cumplan con las obligaciones contempla</w:t>
      </w:r>
      <w:r w:rsidR="00F257CD" w:rsidRPr="008D6D6A">
        <w:rPr>
          <w:rFonts w:ascii="Verdana" w:hAnsi="Verdana" w:cs="Times New Roman"/>
          <w:sz w:val="20"/>
          <w:szCs w:val="20"/>
        </w:rPr>
        <w:t>da</w:t>
      </w:r>
      <w:r w:rsidR="00EC0D01" w:rsidRPr="008D6D6A">
        <w:rPr>
          <w:rFonts w:ascii="Verdana" w:hAnsi="Verdana" w:cs="Times New Roman"/>
          <w:sz w:val="20"/>
          <w:szCs w:val="20"/>
        </w:rPr>
        <w:t>s en los mismos</w:t>
      </w:r>
      <w:r w:rsidR="00111B38" w:rsidRPr="008D6D6A">
        <w:rPr>
          <w:rFonts w:ascii="Verdana" w:hAnsi="Verdana" w:cs="Times New Roman"/>
          <w:sz w:val="20"/>
          <w:szCs w:val="20"/>
        </w:rPr>
        <w:t xml:space="preserve">, siendo responsables en daños y perjuicios si sus decisiones no </w:t>
      </w:r>
      <w:r w:rsidR="00926D59" w:rsidRPr="008D6D6A">
        <w:rPr>
          <w:rFonts w:ascii="Verdana" w:hAnsi="Verdana" w:cs="Times New Roman"/>
          <w:sz w:val="20"/>
          <w:szCs w:val="20"/>
        </w:rPr>
        <w:t xml:space="preserve">se </w:t>
      </w:r>
      <w:r w:rsidR="00111B38" w:rsidRPr="008D6D6A">
        <w:rPr>
          <w:rFonts w:ascii="Verdana" w:hAnsi="Verdana" w:cs="Times New Roman"/>
          <w:sz w:val="20"/>
          <w:szCs w:val="20"/>
        </w:rPr>
        <w:t>cumplen. Los Estados pueden estar sujetos a numerosos desafíos y estarán viviendo e interpretando las obligaciones del tratado en cuestión en numerosos contextos y durante muchos años</w:t>
      </w:r>
      <w:r w:rsidR="00926D59" w:rsidRPr="008D6D6A">
        <w:rPr>
          <w:rFonts w:ascii="Verdana" w:hAnsi="Verdana" w:cs="Times New Roman"/>
          <w:sz w:val="20"/>
          <w:szCs w:val="20"/>
        </w:rPr>
        <w:t>,</w:t>
      </w:r>
      <w:r w:rsidR="00E11F9B" w:rsidRPr="008D6D6A">
        <w:rPr>
          <w:rFonts w:ascii="Verdana" w:hAnsi="Verdana" w:cs="Times New Roman"/>
          <w:sz w:val="20"/>
          <w:szCs w:val="20"/>
        </w:rPr>
        <w:t xml:space="preserve"> mientras que</w:t>
      </w:r>
      <w:r w:rsidR="00111B38" w:rsidRPr="008D6D6A">
        <w:rPr>
          <w:rFonts w:ascii="Verdana" w:hAnsi="Verdana" w:cs="Times New Roman"/>
          <w:sz w:val="20"/>
          <w:szCs w:val="20"/>
        </w:rPr>
        <w:t xml:space="preserve"> l</w:t>
      </w:r>
      <w:r w:rsidR="00BE7393" w:rsidRPr="008D6D6A">
        <w:rPr>
          <w:rFonts w:ascii="Verdana" w:hAnsi="Verdana" w:cs="Times New Roman"/>
          <w:sz w:val="20"/>
          <w:szCs w:val="20"/>
        </w:rPr>
        <w:t>os demandantes inversionistas no tienen obligaciones contractuales para con el Estado</w:t>
      </w:r>
      <w:r w:rsidR="00926D59" w:rsidRPr="008D6D6A">
        <w:rPr>
          <w:rFonts w:ascii="Verdana" w:hAnsi="Verdana" w:cs="Times New Roman"/>
          <w:sz w:val="20"/>
          <w:szCs w:val="20"/>
        </w:rPr>
        <w:t xml:space="preserve">, </w:t>
      </w:r>
      <w:r w:rsidR="00EC0D01" w:rsidRPr="008D6D6A">
        <w:rPr>
          <w:rFonts w:ascii="Verdana" w:hAnsi="Verdana" w:cs="Times New Roman"/>
          <w:sz w:val="20"/>
          <w:szCs w:val="20"/>
        </w:rPr>
        <w:t xml:space="preserve">y </w:t>
      </w:r>
      <w:r w:rsidR="00926D59" w:rsidRPr="008D6D6A">
        <w:rPr>
          <w:rFonts w:ascii="Verdana" w:hAnsi="Verdana" w:cs="Times New Roman"/>
          <w:sz w:val="20"/>
          <w:szCs w:val="20"/>
        </w:rPr>
        <w:t>no podrán</w:t>
      </w:r>
      <w:r w:rsidR="00A226D7" w:rsidRPr="008D6D6A">
        <w:rPr>
          <w:rFonts w:ascii="Verdana" w:hAnsi="Verdana" w:cs="Times New Roman"/>
          <w:sz w:val="20"/>
          <w:szCs w:val="20"/>
        </w:rPr>
        <w:t xml:space="preserve"> ser</w:t>
      </w:r>
      <w:r w:rsidR="00BE7393" w:rsidRPr="008D6D6A">
        <w:rPr>
          <w:rFonts w:ascii="Verdana" w:hAnsi="Verdana" w:cs="Times New Roman"/>
          <w:sz w:val="20"/>
          <w:szCs w:val="20"/>
        </w:rPr>
        <w:t xml:space="preserve"> demandados bajo el tratado</w:t>
      </w:r>
      <w:r w:rsidR="00E11F9B" w:rsidRPr="008D6D6A">
        <w:rPr>
          <w:rFonts w:ascii="Verdana" w:hAnsi="Verdana" w:cs="Times New Roman"/>
          <w:sz w:val="20"/>
          <w:szCs w:val="20"/>
        </w:rPr>
        <w:t>,</w:t>
      </w:r>
      <w:r w:rsidR="00F257CD" w:rsidRPr="008D6D6A">
        <w:rPr>
          <w:rFonts w:ascii="Verdana" w:hAnsi="Verdana" w:cs="Times New Roman"/>
          <w:sz w:val="20"/>
          <w:szCs w:val="20"/>
        </w:rPr>
        <w:t xml:space="preserve"> por lo que</w:t>
      </w:r>
      <w:r w:rsidR="00BE7393" w:rsidRPr="008D6D6A">
        <w:rPr>
          <w:rFonts w:ascii="Verdana" w:hAnsi="Verdana" w:cs="Times New Roman"/>
          <w:sz w:val="20"/>
          <w:szCs w:val="20"/>
        </w:rPr>
        <w:t xml:space="preserve"> </w:t>
      </w:r>
      <w:r w:rsidR="00A2027C" w:rsidRPr="008D6D6A">
        <w:rPr>
          <w:rFonts w:ascii="Verdana" w:hAnsi="Verdana" w:cs="Times New Roman"/>
          <w:sz w:val="20"/>
          <w:szCs w:val="20"/>
        </w:rPr>
        <w:t>no</w:t>
      </w:r>
      <w:r w:rsidR="00BE7393" w:rsidRPr="008D6D6A">
        <w:rPr>
          <w:rFonts w:ascii="Verdana" w:hAnsi="Verdana" w:cs="Times New Roman"/>
          <w:sz w:val="20"/>
          <w:szCs w:val="20"/>
        </w:rPr>
        <w:t xml:space="preserve"> tienen </w:t>
      </w:r>
      <w:r w:rsidR="00E11F9B" w:rsidRPr="008D6D6A">
        <w:rPr>
          <w:rFonts w:ascii="Verdana" w:hAnsi="Verdana" w:cs="Times New Roman"/>
          <w:sz w:val="20"/>
          <w:szCs w:val="20"/>
        </w:rPr>
        <w:t xml:space="preserve">estricta </w:t>
      </w:r>
      <w:r w:rsidR="00BE7393" w:rsidRPr="008D6D6A">
        <w:rPr>
          <w:rFonts w:ascii="Verdana" w:hAnsi="Verdana" w:cs="Times New Roman"/>
          <w:sz w:val="20"/>
          <w:szCs w:val="20"/>
        </w:rPr>
        <w:t>obligación de cumplir con el mismo. Un inversionista demandante en una dispu</w:t>
      </w:r>
      <w:r w:rsidR="00111B38" w:rsidRPr="008D6D6A">
        <w:rPr>
          <w:rFonts w:ascii="Verdana" w:hAnsi="Verdana" w:cs="Times New Roman"/>
          <w:sz w:val="20"/>
          <w:szCs w:val="20"/>
        </w:rPr>
        <w:t>ta está implicado</w:t>
      </w:r>
      <w:r w:rsidR="00BC3742" w:rsidRPr="008D6D6A">
        <w:rPr>
          <w:rFonts w:ascii="Verdana" w:hAnsi="Verdana" w:cs="Times New Roman"/>
          <w:sz w:val="20"/>
          <w:szCs w:val="20"/>
        </w:rPr>
        <w:t xml:space="preserve"> en un suceso “único”</w:t>
      </w:r>
      <w:r w:rsidR="00BE7393" w:rsidRPr="008D6D6A">
        <w:rPr>
          <w:rFonts w:ascii="Verdana" w:hAnsi="Verdana" w:cs="Times New Roman"/>
          <w:sz w:val="20"/>
          <w:szCs w:val="20"/>
        </w:rPr>
        <w:t>,</w:t>
      </w:r>
      <w:r w:rsidR="00BC3742" w:rsidRPr="008D6D6A">
        <w:rPr>
          <w:rFonts w:ascii="Verdana" w:hAnsi="Verdana" w:cs="Times New Roman"/>
          <w:sz w:val="20"/>
          <w:szCs w:val="20"/>
        </w:rPr>
        <w:t xml:space="preserve"> el litigio por el cual ha demandado,</w:t>
      </w:r>
      <w:r w:rsidR="00BE7393" w:rsidRPr="008D6D6A">
        <w:rPr>
          <w:rFonts w:ascii="Verdana" w:hAnsi="Verdana" w:cs="Times New Roman"/>
          <w:sz w:val="20"/>
          <w:szCs w:val="20"/>
        </w:rPr>
        <w:t xml:space="preserve"> mientras que los Estados </w:t>
      </w:r>
      <w:r w:rsidR="00BA6D56" w:rsidRPr="008D6D6A">
        <w:rPr>
          <w:rFonts w:ascii="Verdana" w:hAnsi="Verdana" w:cs="Times New Roman"/>
          <w:sz w:val="20"/>
          <w:szCs w:val="20"/>
        </w:rPr>
        <w:t>P</w:t>
      </w:r>
      <w:r w:rsidR="00BC3742" w:rsidRPr="008D6D6A">
        <w:rPr>
          <w:rFonts w:ascii="Verdana" w:hAnsi="Verdana" w:cs="Times New Roman"/>
          <w:sz w:val="20"/>
          <w:szCs w:val="20"/>
        </w:rPr>
        <w:t xml:space="preserve">artes del tratado </w:t>
      </w:r>
      <w:r w:rsidR="00EC0D01" w:rsidRPr="008D6D6A">
        <w:rPr>
          <w:rFonts w:ascii="Verdana" w:hAnsi="Verdana" w:cs="Times New Roman"/>
          <w:sz w:val="20"/>
          <w:szCs w:val="20"/>
        </w:rPr>
        <w:t>presentan una vinculación permanente con el mismo</w:t>
      </w:r>
      <w:r w:rsidR="00BE7393" w:rsidRPr="008D6D6A">
        <w:rPr>
          <w:rFonts w:ascii="Verdana" w:hAnsi="Verdana" w:cs="Times New Roman"/>
          <w:sz w:val="20"/>
          <w:szCs w:val="20"/>
        </w:rPr>
        <w:t xml:space="preserve">. </w:t>
      </w:r>
    </w:p>
    <w:p w:rsidR="00A75F88" w:rsidRPr="008D6D6A" w:rsidRDefault="005608FD"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Por </w:t>
      </w:r>
      <w:r w:rsidR="00ED0F14" w:rsidRPr="008D6D6A">
        <w:rPr>
          <w:rFonts w:ascii="Verdana" w:hAnsi="Verdana" w:cs="Times New Roman"/>
          <w:sz w:val="20"/>
          <w:szCs w:val="20"/>
        </w:rPr>
        <w:t>todo lo dicho,</w:t>
      </w:r>
      <w:r w:rsidRPr="008D6D6A">
        <w:rPr>
          <w:rFonts w:ascii="Verdana" w:hAnsi="Verdana" w:cs="Times New Roman"/>
          <w:sz w:val="20"/>
          <w:szCs w:val="20"/>
        </w:rPr>
        <w:t xml:space="preserve"> resulta </w:t>
      </w:r>
      <w:r w:rsidR="00444EB5" w:rsidRPr="008D6D6A">
        <w:rPr>
          <w:rFonts w:ascii="Verdana" w:hAnsi="Verdana" w:cs="Times New Roman"/>
          <w:sz w:val="20"/>
          <w:szCs w:val="20"/>
        </w:rPr>
        <w:t>positivo</w:t>
      </w:r>
      <w:r w:rsidR="00B5408E" w:rsidRPr="008D6D6A">
        <w:rPr>
          <w:rFonts w:ascii="Verdana" w:hAnsi="Verdana" w:cs="Times New Roman"/>
          <w:sz w:val="20"/>
          <w:szCs w:val="20"/>
        </w:rPr>
        <w:t xml:space="preserve"> que el Reglamento</w:t>
      </w:r>
      <w:r w:rsidR="00BC3742" w:rsidRPr="008D6D6A">
        <w:rPr>
          <w:rFonts w:ascii="Verdana" w:hAnsi="Verdana" w:cs="Times New Roman"/>
          <w:sz w:val="20"/>
          <w:szCs w:val="20"/>
        </w:rPr>
        <w:t xml:space="preserve"> autorice</w:t>
      </w:r>
      <w:r w:rsidR="00A2027C" w:rsidRPr="008D6D6A">
        <w:rPr>
          <w:rFonts w:ascii="Verdana" w:hAnsi="Verdana" w:cs="Times New Roman"/>
          <w:sz w:val="20"/>
          <w:szCs w:val="20"/>
        </w:rPr>
        <w:t xml:space="preserve"> al tribunal arbitral a permitir que Estados no </w:t>
      </w:r>
      <w:r w:rsidR="00BA6D56" w:rsidRPr="008D6D6A">
        <w:rPr>
          <w:rFonts w:ascii="Verdana" w:hAnsi="Verdana" w:cs="Times New Roman"/>
          <w:sz w:val="20"/>
          <w:szCs w:val="20"/>
        </w:rPr>
        <w:t>P</w:t>
      </w:r>
      <w:r w:rsidR="00A2027C" w:rsidRPr="008D6D6A">
        <w:rPr>
          <w:rFonts w:ascii="Verdana" w:hAnsi="Verdana" w:cs="Times New Roman"/>
          <w:sz w:val="20"/>
          <w:szCs w:val="20"/>
        </w:rPr>
        <w:t>artes del litigio, pero sí del tratado</w:t>
      </w:r>
      <w:r w:rsidR="00B5408E" w:rsidRPr="008D6D6A">
        <w:rPr>
          <w:rFonts w:ascii="Verdana" w:hAnsi="Verdana" w:cs="Times New Roman"/>
          <w:sz w:val="20"/>
          <w:szCs w:val="20"/>
        </w:rPr>
        <w:t>,</w:t>
      </w:r>
      <w:r w:rsidR="00A2027C" w:rsidRPr="008D6D6A">
        <w:rPr>
          <w:rFonts w:ascii="Verdana" w:hAnsi="Verdana" w:cs="Times New Roman"/>
          <w:sz w:val="20"/>
          <w:szCs w:val="20"/>
        </w:rPr>
        <w:t xml:space="preserve"> puedan presentar escritos sobre otras cuesti</w:t>
      </w:r>
      <w:r w:rsidR="00BC3742" w:rsidRPr="008D6D6A">
        <w:rPr>
          <w:rFonts w:ascii="Verdana" w:hAnsi="Verdana" w:cs="Times New Roman"/>
          <w:sz w:val="20"/>
          <w:szCs w:val="20"/>
        </w:rPr>
        <w:t xml:space="preserve">ones que sean objeto de la </w:t>
      </w:r>
      <w:r w:rsidR="00141859" w:rsidRPr="008D6D6A">
        <w:rPr>
          <w:rFonts w:ascii="Verdana" w:hAnsi="Verdana" w:cs="Times New Roman"/>
          <w:sz w:val="20"/>
          <w:szCs w:val="20"/>
        </w:rPr>
        <w:t>Litis</w:t>
      </w:r>
      <w:r w:rsidR="00C44737" w:rsidRPr="008D6D6A">
        <w:rPr>
          <w:rFonts w:ascii="Verdana" w:hAnsi="Verdana" w:cs="Times New Roman"/>
          <w:sz w:val="20"/>
          <w:szCs w:val="20"/>
        </w:rPr>
        <w:t xml:space="preserve">, </w:t>
      </w:r>
      <w:r w:rsidR="00D918EC" w:rsidRPr="008D6D6A">
        <w:rPr>
          <w:rFonts w:ascii="Verdana" w:hAnsi="Verdana" w:cs="Times New Roman"/>
          <w:sz w:val="20"/>
          <w:szCs w:val="20"/>
        </w:rPr>
        <w:t>o sea, que puedan presentar comunicaciones sobre otros asuntos dentro del alcance de la disputa. Sin embargo, para poder admitir tal presentación, el tribu</w:t>
      </w:r>
      <w:r w:rsidR="007338AC" w:rsidRPr="008D6D6A">
        <w:rPr>
          <w:rFonts w:ascii="Verdana" w:hAnsi="Verdana" w:cs="Times New Roman"/>
          <w:sz w:val="20"/>
          <w:szCs w:val="20"/>
        </w:rPr>
        <w:t>nal debe tener en cuenta si la P</w:t>
      </w:r>
      <w:r w:rsidR="00D918EC" w:rsidRPr="008D6D6A">
        <w:rPr>
          <w:rFonts w:ascii="Verdana" w:hAnsi="Verdana" w:cs="Times New Roman"/>
          <w:sz w:val="20"/>
          <w:szCs w:val="20"/>
        </w:rPr>
        <w:t>arte no contendiente tiene un interés significativo en el procedimiento arbitral y que dichas presentaciones o comunicaciones contribuyan a la solució</w:t>
      </w:r>
      <w:r w:rsidR="007338AC" w:rsidRPr="008D6D6A">
        <w:rPr>
          <w:rFonts w:ascii="Verdana" w:hAnsi="Verdana" w:cs="Times New Roman"/>
          <w:sz w:val="20"/>
          <w:szCs w:val="20"/>
        </w:rPr>
        <w:t>n de la disputa por el tribunal,</w:t>
      </w:r>
      <w:r w:rsidR="00D918EC" w:rsidRPr="008D6D6A">
        <w:rPr>
          <w:rFonts w:ascii="Verdana" w:hAnsi="Verdana" w:cs="Times New Roman"/>
          <w:sz w:val="20"/>
          <w:szCs w:val="20"/>
        </w:rPr>
        <w:t xml:space="preserve"> </w:t>
      </w:r>
      <w:r w:rsidR="007338AC" w:rsidRPr="008D6D6A">
        <w:rPr>
          <w:rFonts w:ascii="Verdana" w:hAnsi="Verdana" w:cs="Times New Roman"/>
          <w:sz w:val="20"/>
          <w:szCs w:val="20"/>
        </w:rPr>
        <w:lastRenderedPageBreak/>
        <w:t>s</w:t>
      </w:r>
      <w:r w:rsidR="00D918EC" w:rsidRPr="008D6D6A">
        <w:rPr>
          <w:rFonts w:ascii="Verdana" w:hAnsi="Verdana" w:cs="Times New Roman"/>
          <w:sz w:val="20"/>
          <w:szCs w:val="20"/>
        </w:rPr>
        <w:t>iempre</w:t>
      </w:r>
      <w:r w:rsidR="00BA3166" w:rsidRPr="008D6D6A">
        <w:rPr>
          <w:rFonts w:ascii="Verdana" w:hAnsi="Verdana" w:cs="Times New Roman"/>
          <w:sz w:val="20"/>
          <w:szCs w:val="20"/>
        </w:rPr>
        <w:t xml:space="preserve"> que la presentación de dichos escritos</w:t>
      </w:r>
      <w:r w:rsidR="0083501A" w:rsidRPr="008D6D6A">
        <w:rPr>
          <w:rFonts w:ascii="Verdana" w:hAnsi="Verdana" w:cs="Times New Roman"/>
          <w:sz w:val="20"/>
          <w:szCs w:val="20"/>
        </w:rPr>
        <w:t>, tal y como reconoce el Reglamento,</w:t>
      </w:r>
      <w:r w:rsidR="00BA3166" w:rsidRPr="008D6D6A">
        <w:rPr>
          <w:rFonts w:ascii="Verdana" w:hAnsi="Verdana" w:cs="Times New Roman"/>
          <w:sz w:val="20"/>
          <w:szCs w:val="20"/>
        </w:rPr>
        <w:t xml:space="preserve"> no </w:t>
      </w:r>
      <w:r w:rsidR="0009064D" w:rsidRPr="008D6D6A">
        <w:rPr>
          <w:rFonts w:ascii="Verdana" w:hAnsi="Verdana" w:cs="Times New Roman"/>
          <w:sz w:val="20"/>
          <w:szCs w:val="20"/>
        </w:rPr>
        <w:t>signifique acudir a la</w:t>
      </w:r>
      <w:r w:rsidR="00BA3166" w:rsidRPr="008D6D6A">
        <w:rPr>
          <w:rFonts w:ascii="Verdana" w:hAnsi="Verdana" w:cs="Times New Roman"/>
          <w:sz w:val="20"/>
          <w:szCs w:val="20"/>
        </w:rPr>
        <w:t xml:space="preserve"> protección diplomática</w:t>
      </w:r>
      <w:r w:rsidR="002D7839" w:rsidRPr="008D6D6A">
        <w:rPr>
          <w:rStyle w:val="Refdenotaalpie"/>
          <w:rFonts w:ascii="Verdana" w:hAnsi="Verdana" w:cs="Times New Roman"/>
          <w:sz w:val="20"/>
          <w:szCs w:val="20"/>
        </w:rPr>
        <w:footnoteReference w:id="97"/>
      </w:r>
      <w:r w:rsidR="002D7839" w:rsidRPr="008D6D6A">
        <w:rPr>
          <w:rFonts w:ascii="Verdana" w:hAnsi="Verdana" w:cs="Times New Roman"/>
          <w:sz w:val="20"/>
          <w:szCs w:val="20"/>
        </w:rPr>
        <w:t>.</w:t>
      </w:r>
      <w:r w:rsidR="00711C24" w:rsidRPr="008D6D6A">
        <w:rPr>
          <w:rFonts w:ascii="Verdana" w:hAnsi="Verdana" w:cs="Times New Roman"/>
          <w:sz w:val="20"/>
          <w:szCs w:val="20"/>
        </w:rPr>
        <w:t xml:space="preserve"> </w:t>
      </w:r>
      <w:r w:rsidR="00A75F88" w:rsidRPr="008D6D6A">
        <w:rPr>
          <w:rFonts w:ascii="Verdana" w:hAnsi="Verdana" w:cs="Times New Roman"/>
          <w:sz w:val="20"/>
          <w:szCs w:val="20"/>
        </w:rPr>
        <w:t xml:space="preserve">   </w:t>
      </w:r>
    </w:p>
    <w:p w:rsidR="00F80CA6" w:rsidRPr="008D6D6A" w:rsidRDefault="00711C24" w:rsidP="006D3AD5">
      <w:pPr>
        <w:pStyle w:val="Contenidodelatabla"/>
        <w:spacing w:line="240" w:lineRule="auto"/>
        <w:rPr>
          <w:rFonts w:ascii="Verdana" w:hAnsi="Verdana" w:cs="Times New Roman"/>
          <w:sz w:val="20"/>
          <w:szCs w:val="20"/>
        </w:rPr>
      </w:pPr>
      <w:r w:rsidRPr="00984914">
        <w:rPr>
          <w:rFonts w:ascii="Verdana" w:hAnsi="Verdana" w:cs="Times New Roman"/>
          <w:sz w:val="20"/>
          <w:szCs w:val="20"/>
        </w:rPr>
        <w:t xml:space="preserve">Cuestión ésta última con la que estamos plenamente de acuerdo, ya que la </w:t>
      </w:r>
      <w:r w:rsidR="00CD1213" w:rsidRPr="00984914">
        <w:rPr>
          <w:rFonts w:ascii="Verdana" w:hAnsi="Verdana" w:cs="Times New Roman"/>
          <w:sz w:val="20"/>
          <w:szCs w:val="20"/>
        </w:rPr>
        <w:t xml:space="preserve">vía diplomática </w:t>
      </w:r>
      <w:r w:rsidR="00F80CA6" w:rsidRPr="00984914">
        <w:rPr>
          <w:rFonts w:ascii="Verdana" w:hAnsi="Verdana" w:cs="Times New Roman"/>
          <w:sz w:val="20"/>
          <w:szCs w:val="20"/>
        </w:rPr>
        <w:t>es</w:t>
      </w:r>
      <w:r w:rsidR="0083501A" w:rsidRPr="00984914">
        <w:rPr>
          <w:rFonts w:ascii="Verdana" w:hAnsi="Verdana" w:cs="Times New Roman"/>
          <w:sz w:val="20"/>
          <w:szCs w:val="20"/>
        </w:rPr>
        <w:t>, generalmente, la primera opción regulada por la gran mayoría de los Estados en sus tratados p</w:t>
      </w:r>
      <w:r w:rsidR="00E11F9B" w:rsidRPr="00984914">
        <w:rPr>
          <w:rFonts w:ascii="Verdana" w:hAnsi="Verdana" w:cs="Times New Roman"/>
          <w:sz w:val="20"/>
          <w:szCs w:val="20"/>
        </w:rPr>
        <w:t>ara la resolución de controversias en materia de inversión</w:t>
      </w:r>
      <w:r w:rsidR="0083501A" w:rsidRPr="00984914">
        <w:rPr>
          <w:rFonts w:ascii="Verdana" w:hAnsi="Verdana" w:cs="Times New Roman"/>
          <w:sz w:val="20"/>
          <w:szCs w:val="20"/>
        </w:rPr>
        <w:t xml:space="preserve">. Por lo que </w:t>
      </w:r>
      <w:r w:rsidR="006D7407" w:rsidRPr="00984914">
        <w:rPr>
          <w:rFonts w:ascii="Verdana" w:hAnsi="Verdana" w:cs="Times New Roman"/>
          <w:sz w:val="20"/>
          <w:szCs w:val="20"/>
        </w:rPr>
        <w:t>r</w:t>
      </w:r>
      <w:r w:rsidR="00CD1213" w:rsidRPr="00984914">
        <w:rPr>
          <w:rFonts w:ascii="Verdana" w:hAnsi="Verdana" w:cs="Times New Roman"/>
          <w:sz w:val="20"/>
          <w:szCs w:val="20"/>
        </w:rPr>
        <w:t xml:space="preserve">esulta </w:t>
      </w:r>
      <w:r w:rsidR="00901098" w:rsidRPr="00984914">
        <w:rPr>
          <w:rFonts w:ascii="Verdana" w:hAnsi="Verdana" w:cs="Times New Roman"/>
          <w:sz w:val="20"/>
          <w:szCs w:val="20"/>
        </w:rPr>
        <w:t>in</w:t>
      </w:r>
      <w:r w:rsidR="00F1094A" w:rsidRPr="00984914">
        <w:rPr>
          <w:rFonts w:ascii="Verdana" w:hAnsi="Verdana" w:cs="Times New Roman"/>
          <w:sz w:val="20"/>
          <w:szCs w:val="20"/>
        </w:rPr>
        <w:t>útil</w:t>
      </w:r>
      <w:r w:rsidRPr="00984914">
        <w:rPr>
          <w:rFonts w:ascii="Verdana" w:hAnsi="Verdana" w:cs="Times New Roman"/>
          <w:sz w:val="20"/>
          <w:szCs w:val="20"/>
        </w:rPr>
        <w:t xml:space="preserve"> que, en una estadía avanzada del procedimiento arbitral, </w:t>
      </w:r>
      <w:r w:rsidR="00E11F9B" w:rsidRPr="00984914">
        <w:rPr>
          <w:rFonts w:ascii="Verdana" w:hAnsi="Verdana" w:cs="Times New Roman"/>
          <w:sz w:val="20"/>
          <w:szCs w:val="20"/>
        </w:rPr>
        <w:t>y en</w:t>
      </w:r>
      <w:r w:rsidR="00C86097" w:rsidRPr="00984914">
        <w:rPr>
          <w:rFonts w:ascii="Verdana" w:hAnsi="Verdana" w:cs="Times New Roman"/>
          <w:sz w:val="20"/>
          <w:szCs w:val="20"/>
        </w:rPr>
        <w:t xml:space="preserve"> el</w:t>
      </w:r>
      <w:r w:rsidR="006D7407" w:rsidRPr="00984914">
        <w:rPr>
          <w:rFonts w:ascii="Verdana" w:hAnsi="Verdana" w:cs="Times New Roman"/>
          <w:sz w:val="20"/>
          <w:szCs w:val="20"/>
        </w:rPr>
        <w:t xml:space="preserve"> que las </w:t>
      </w:r>
      <w:r w:rsidR="00F80CA6" w:rsidRPr="00984914">
        <w:rPr>
          <w:rFonts w:ascii="Verdana" w:hAnsi="Verdana" w:cs="Times New Roman"/>
          <w:sz w:val="20"/>
          <w:szCs w:val="20"/>
        </w:rPr>
        <w:t>partes</w:t>
      </w:r>
      <w:r w:rsidR="006D7407" w:rsidRPr="00984914">
        <w:rPr>
          <w:rFonts w:ascii="Verdana" w:hAnsi="Verdana" w:cs="Times New Roman"/>
          <w:sz w:val="20"/>
          <w:szCs w:val="20"/>
        </w:rPr>
        <w:t xml:space="preserve"> ya</w:t>
      </w:r>
      <w:r w:rsidR="00F80CA6" w:rsidRPr="00984914">
        <w:rPr>
          <w:rFonts w:ascii="Verdana" w:hAnsi="Verdana" w:cs="Times New Roman"/>
          <w:sz w:val="20"/>
          <w:szCs w:val="20"/>
        </w:rPr>
        <w:t xml:space="preserve"> han incurrido en altos costos</w:t>
      </w:r>
      <w:r w:rsidR="006D7407" w:rsidRPr="00984914">
        <w:rPr>
          <w:rFonts w:ascii="Verdana" w:hAnsi="Verdana" w:cs="Times New Roman"/>
          <w:sz w:val="20"/>
          <w:szCs w:val="20"/>
        </w:rPr>
        <w:t xml:space="preserve"> económicos</w:t>
      </w:r>
      <w:r w:rsidR="007338AC" w:rsidRPr="00984914">
        <w:rPr>
          <w:rFonts w:ascii="Verdana" w:hAnsi="Verdana" w:cs="Times New Roman"/>
          <w:sz w:val="20"/>
          <w:szCs w:val="20"/>
        </w:rPr>
        <w:t xml:space="preserve"> del proceso</w:t>
      </w:r>
      <w:r w:rsidR="00F80CA6" w:rsidRPr="00984914">
        <w:rPr>
          <w:rFonts w:ascii="Verdana" w:hAnsi="Verdana" w:cs="Times New Roman"/>
          <w:sz w:val="20"/>
          <w:szCs w:val="20"/>
        </w:rPr>
        <w:t xml:space="preserve">, </w:t>
      </w:r>
      <w:r w:rsidRPr="00984914">
        <w:rPr>
          <w:rFonts w:ascii="Verdana" w:hAnsi="Verdana" w:cs="Times New Roman"/>
          <w:sz w:val="20"/>
          <w:szCs w:val="20"/>
        </w:rPr>
        <w:t xml:space="preserve">pueda admitirse </w:t>
      </w:r>
      <w:r w:rsidR="00BA3166" w:rsidRPr="00984914">
        <w:rPr>
          <w:rFonts w:ascii="Verdana" w:hAnsi="Verdana" w:cs="Times New Roman"/>
          <w:sz w:val="20"/>
          <w:szCs w:val="20"/>
        </w:rPr>
        <w:t>que una de las partes firmantes del tratado, pero</w:t>
      </w:r>
      <w:r w:rsidR="00E11F9B" w:rsidRPr="00984914">
        <w:rPr>
          <w:rFonts w:ascii="Verdana" w:hAnsi="Verdana" w:cs="Times New Roman"/>
          <w:sz w:val="20"/>
          <w:szCs w:val="20"/>
        </w:rPr>
        <w:t xml:space="preserve"> no litigante</w:t>
      </w:r>
      <w:r w:rsidR="00CD1213" w:rsidRPr="00984914">
        <w:rPr>
          <w:rFonts w:ascii="Verdana" w:hAnsi="Verdana" w:cs="Times New Roman"/>
          <w:sz w:val="20"/>
          <w:szCs w:val="20"/>
        </w:rPr>
        <w:t>,</w:t>
      </w:r>
      <w:r w:rsidR="00E11F9B" w:rsidRPr="00984914">
        <w:rPr>
          <w:rFonts w:ascii="Verdana" w:hAnsi="Verdana" w:cs="Times New Roman"/>
          <w:sz w:val="20"/>
          <w:szCs w:val="20"/>
        </w:rPr>
        <w:t xml:space="preserve"> presente</w:t>
      </w:r>
      <w:r w:rsidR="00BA3166" w:rsidRPr="00984914">
        <w:rPr>
          <w:rFonts w:ascii="Verdana" w:hAnsi="Verdana" w:cs="Times New Roman"/>
          <w:sz w:val="20"/>
          <w:szCs w:val="20"/>
        </w:rPr>
        <w:t xml:space="preserve"> escritos con el objetivo de acudir a l</w:t>
      </w:r>
      <w:r w:rsidRPr="00984914">
        <w:rPr>
          <w:rFonts w:ascii="Verdana" w:hAnsi="Verdana" w:cs="Times New Roman"/>
          <w:sz w:val="20"/>
          <w:szCs w:val="20"/>
        </w:rPr>
        <w:t xml:space="preserve">a </w:t>
      </w:r>
      <w:r w:rsidR="00BA3166" w:rsidRPr="00984914">
        <w:rPr>
          <w:rFonts w:ascii="Verdana" w:hAnsi="Verdana" w:cs="Times New Roman"/>
          <w:sz w:val="20"/>
          <w:szCs w:val="20"/>
        </w:rPr>
        <w:t>protección</w:t>
      </w:r>
      <w:r w:rsidRPr="00984914">
        <w:rPr>
          <w:rFonts w:ascii="Verdana" w:hAnsi="Verdana" w:cs="Times New Roman"/>
          <w:sz w:val="20"/>
          <w:szCs w:val="20"/>
        </w:rPr>
        <w:t xml:space="preserve"> diplomática. </w:t>
      </w:r>
      <w:r w:rsidR="00F80CA6" w:rsidRPr="00984914">
        <w:rPr>
          <w:rFonts w:ascii="Verdana" w:hAnsi="Verdana" w:cs="Times New Roman"/>
          <w:sz w:val="20"/>
          <w:szCs w:val="20"/>
        </w:rPr>
        <w:t>En este sentido, el Reglamento sobre la Transparencia tiene un carácter proteccionista del arbitraje de inversiones</w:t>
      </w:r>
      <w:r w:rsidR="00984914" w:rsidRPr="00984914">
        <w:rPr>
          <w:rFonts w:ascii="Verdana" w:hAnsi="Verdana" w:cs="Times New Roman"/>
          <w:sz w:val="20"/>
          <w:szCs w:val="20"/>
        </w:rPr>
        <w:t xml:space="preserve"> respecto de</w:t>
      </w:r>
      <w:r w:rsidR="004127BF" w:rsidRPr="00984914">
        <w:rPr>
          <w:rFonts w:ascii="Verdana" w:hAnsi="Verdana" w:cs="Times New Roman"/>
          <w:sz w:val="20"/>
          <w:szCs w:val="20"/>
        </w:rPr>
        <w:t xml:space="preserve"> la vía diplomática, quizás con el objetivo de mantener alejad</w:t>
      </w:r>
      <w:r w:rsidR="001416F0" w:rsidRPr="00984914">
        <w:rPr>
          <w:rFonts w:ascii="Verdana" w:hAnsi="Verdana" w:cs="Times New Roman"/>
          <w:sz w:val="20"/>
          <w:szCs w:val="20"/>
        </w:rPr>
        <w:t xml:space="preserve">o de una posible politización </w:t>
      </w:r>
      <w:r w:rsidR="004127BF" w:rsidRPr="00984914">
        <w:rPr>
          <w:rFonts w:ascii="Verdana" w:hAnsi="Verdana" w:cs="Times New Roman"/>
          <w:sz w:val="20"/>
          <w:szCs w:val="20"/>
        </w:rPr>
        <w:t>el procedimie</w:t>
      </w:r>
      <w:r w:rsidR="00984914" w:rsidRPr="00984914">
        <w:rPr>
          <w:rFonts w:ascii="Verdana" w:hAnsi="Verdana" w:cs="Times New Roman"/>
          <w:sz w:val="20"/>
          <w:szCs w:val="20"/>
        </w:rPr>
        <w:t>nto arbitral y la disputa en sí</w:t>
      </w:r>
      <w:r w:rsidR="004127BF" w:rsidRPr="00984914">
        <w:rPr>
          <w:rFonts w:ascii="Verdana" w:hAnsi="Verdana" w:cs="Times New Roman"/>
          <w:sz w:val="20"/>
          <w:szCs w:val="20"/>
        </w:rPr>
        <w:t xml:space="preserve"> que pudiera surgir a través de la intervención de las autoridades diplomáticas de los Estados.</w:t>
      </w:r>
    </w:p>
    <w:p w:rsidR="00B5408E" w:rsidRPr="008D6D6A" w:rsidRDefault="005608FD"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w:t>
      </w:r>
      <w:r w:rsidR="00B5408E" w:rsidRPr="008D6D6A">
        <w:rPr>
          <w:rFonts w:ascii="Verdana" w:hAnsi="Verdana" w:cs="Times New Roman"/>
          <w:sz w:val="20"/>
          <w:szCs w:val="20"/>
        </w:rPr>
        <w:t xml:space="preserve">l interés de los Estados Partes </w:t>
      </w:r>
      <w:r w:rsidR="00C86097" w:rsidRPr="008D6D6A">
        <w:rPr>
          <w:rFonts w:ascii="Verdana" w:hAnsi="Verdana" w:cs="Times New Roman"/>
          <w:sz w:val="20"/>
          <w:szCs w:val="20"/>
        </w:rPr>
        <w:t xml:space="preserve">de un tratado </w:t>
      </w:r>
      <w:r w:rsidR="00B5408E" w:rsidRPr="008D6D6A">
        <w:rPr>
          <w:rFonts w:ascii="Verdana" w:hAnsi="Verdana" w:cs="Times New Roman"/>
          <w:sz w:val="20"/>
          <w:szCs w:val="20"/>
        </w:rPr>
        <w:t>en las controversias</w:t>
      </w:r>
      <w:r w:rsidR="007338AC" w:rsidRPr="008D6D6A">
        <w:rPr>
          <w:rFonts w:ascii="Verdana" w:hAnsi="Verdana" w:cs="Times New Roman"/>
          <w:sz w:val="20"/>
          <w:szCs w:val="20"/>
        </w:rPr>
        <w:t xml:space="preserve"> en las que no son P</w:t>
      </w:r>
      <w:r w:rsidR="00C86097" w:rsidRPr="008D6D6A">
        <w:rPr>
          <w:rFonts w:ascii="Verdana" w:hAnsi="Verdana" w:cs="Times New Roman"/>
          <w:sz w:val="20"/>
          <w:szCs w:val="20"/>
        </w:rPr>
        <w:t>artes contendientes</w:t>
      </w:r>
      <w:r w:rsidRPr="008D6D6A">
        <w:rPr>
          <w:rFonts w:ascii="Verdana" w:hAnsi="Verdana" w:cs="Times New Roman"/>
          <w:sz w:val="20"/>
          <w:szCs w:val="20"/>
        </w:rPr>
        <w:t xml:space="preserve"> no es sólo defensivo,</w:t>
      </w:r>
      <w:r w:rsidR="00B5408E" w:rsidRPr="008D6D6A">
        <w:rPr>
          <w:rFonts w:ascii="Verdana" w:hAnsi="Verdana" w:cs="Times New Roman"/>
          <w:sz w:val="20"/>
          <w:szCs w:val="20"/>
        </w:rPr>
        <w:t xml:space="preserve"> </w:t>
      </w:r>
      <w:r w:rsidR="00437F0A" w:rsidRPr="008D6D6A">
        <w:rPr>
          <w:rFonts w:ascii="Verdana" w:hAnsi="Verdana" w:cs="Times New Roman"/>
          <w:sz w:val="20"/>
          <w:szCs w:val="20"/>
        </w:rPr>
        <w:t xml:space="preserve">sino que </w:t>
      </w:r>
      <w:r w:rsidRPr="008D6D6A">
        <w:rPr>
          <w:rFonts w:ascii="Verdana" w:hAnsi="Verdana" w:cs="Times New Roman"/>
          <w:sz w:val="20"/>
          <w:szCs w:val="20"/>
        </w:rPr>
        <w:t>más bien</w:t>
      </w:r>
      <w:r w:rsidR="00B5408E" w:rsidRPr="008D6D6A">
        <w:rPr>
          <w:rFonts w:ascii="Verdana" w:hAnsi="Verdana" w:cs="Times New Roman"/>
          <w:sz w:val="20"/>
          <w:szCs w:val="20"/>
        </w:rPr>
        <w:t xml:space="preserve"> los Estados tienen un interés imperativo de garantizar que un tratado de inversión proporcione realmente protección a los inversores y promueva la inversión extranjera en el Estado anfitrión. La protección y promoción de las inversiones es </w:t>
      </w:r>
      <w:r w:rsidR="00C86097" w:rsidRPr="008D6D6A">
        <w:rPr>
          <w:rFonts w:ascii="Verdana" w:hAnsi="Verdana" w:cs="Times New Roman"/>
          <w:sz w:val="20"/>
          <w:szCs w:val="20"/>
        </w:rPr>
        <w:t>una de las razones</w:t>
      </w:r>
      <w:r w:rsidR="00B5408E" w:rsidRPr="008D6D6A">
        <w:rPr>
          <w:rFonts w:ascii="Verdana" w:hAnsi="Verdana" w:cs="Times New Roman"/>
          <w:sz w:val="20"/>
          <w:szCs w:val="20"/>
        </w:rPr>
        <w:t xml:space="preserve"> de ser de l</w:t>
      </w:r>
      <w:r w:rsidR="00984914">
        <w:rPr>
          <w:rFonts w:ascii="Verdana" w:hAnsi="Verdana" w:cs="Times New Roman"/>
          <w:sz w:val="20"/>
          <w:szCs w:val="20"/>
        </w:rPr>
        <w:t>a entrada de los Estados en dichos</w:t>
      </w:r>
      <w:r w:rsidR="00B5408E" w:rsidRPr="008D6D6A">
        <w:rPr>
          <w:rFonts w:ascii="Verdana" w:hAnsi="Verdana" w:cs="Times New Roman"/>
          <w:sz w:val="20"/>
          <w:szCs w:val="20"/>
        </w:rPr>
        <w:t xml:space="preserve"> tratados y, por consiguiente, los Estad</w:t>
      </w:r>
      <w:r w:rsidR="00F43575" w:rsidRPr="008D6D6A">
        <w:rPr>
          <w:rFonts w:ascii="Verdana" w:hAnsi="Verdana" w:cs="Times New Roman"/>
          <w:sz w:val="20"/>
          <w:szCs w:val="20"/>
        </w:rPr>
        <w:t>os tienen interés en que los T</w:t>
      </w:r>
      <w:r w:rsidR="00984914">
        <w:rPr>
          <w:rFonts w:ascii="Verdana" w:hAnsi="Verdana" w:cs="Times New Roman"/>
          <w:sz w:val="20"/>
          <w:szCs w:val="20"/>
        </w:rPr>
        <w:t xml:space="preserve">ratados de </w:t>
      </w:r>
      <w:r w:rsidR="00F43575" w:rsidRPr="008D6D6A">
        <w:rPr>
          <w:rFonts w:ascii="Verdana" w:hAnsi="Verdana" w:cs="Times New Roman"/>
          <w:sz w:val="20"/>
          <w:szCs w:val="20"/>
        </w:rPr>
        <w:t>L</w:t>
      </w:r>
      <w:r w:rsidR="00984914">
        <w:rPr>
          <w:rFonts w:ascii="Verdana" w:hAnsi="Verdana" w:cs="Times New Roman"/>
          <w:sz w:val="20"/>
          <w:szCs w:val="20"/>
        </w:rPr>
        <w:t xml:space="preserve">ibre </w:t>
      </w:r>
      <w:r w:rsidR="00F43575" w:rsidRPr="008D6D6A">
        <w:rPr>
          <w:rFonts w:ascii="Verdana" w:hAnsi="Verdana" w:cs="Times New Roman"/>
          <w:sz w:val="20"/>
          <w:szCs w:val="20"/>
        </w:rPr>
        <w:t>C</w:t>
      </w:r>
      <w:r w:rsidR="00984914">
        <w:rPr>
          <w:rFonts w:ascii="Verdana" w:hAnsi="Verdana" w:cs="Times New Roman"/>
          <w:sz w:val="20"/>
          <w:szCs w:val="20"/>
        </w:rPr>
        <w:t>omercio (TLC)</w:t>
      </w:r>
      <w:r w:rsidR="00F43575" w:rsidRPr="008D6D6A">
        <w:rPr>
          <w:rFonts w:ascii="Verdana" w:hAnsi="Verdana" w:cs="Times New Roman"/>
          <w:sz w:val="20"/>
          <w:szCs w:val="20"/>
        </w:rPr>
        <w:t xml:space="preserve"> o </w:t>
      </w:r>
      <w:r w:rsidR="00616048" w:rsidRPr="008D6D6A">
        <w:rPr>
          <w:rFonts w:ascii="Verdana" w:hAnsi="Verdana" w:cs="Times New Roman"/>
          <w:sz w:val="20"/>
          <w:szCs w:val="20"/>
        </w:rPr>
        <w:t xml:space="preserve">los </w:t>
      </w:r>
      <w:r w:rsidR="00F43575" w:rsidRPr="008D6D6A">
        <w:rPr>
          <w:rFonts w:ascii="Verdana" w:hAnsi="Verdana" w:cs="Times New Roman"/>
          <w:sz w:val="20"/>
          <w:szCs w:val="20"/>
        </w:rPr>
        <w:t>A</w:t>
      </w:r>
      <w:r w:rsidR="00984914">
        <w:rPr>
          <w:rFonts w:ascii="Verdana" w:hAnsi="Verdana" w:cs="Times New Roman"/>
          <w:sz w:val="20"/>
          <w:szCs w:val="20"/>
        </w:rPr>
        <w:t xml:space="preserve">cuerdos de </w:t>
      </w:r>
      <w:r w:rsidR="00F43575" w:rsidRPr="008D6D6A">
        <w:rPr>
          <w:rFonts w:ascii="Verdana" w:hAnsi="Verdana" w:cs="Times New Roman"/>
          <w:sz w:val="20"/>
          <w:szCs w:val="20"/>
        </w:rPr>
        <w:t>P</w:t>
      </w:r>
      <w:r w:rsidR="00984914">
        <w:rPr>
          <w:rFonts w:ascii="Verdana" w:hAnsi="Verdana" w:cs="Times New Roman"/>
          <w:sz w:val="20"/>
          <w:szCs w:val="20"/>
        </w:rPr>
        <w:t xml:space="preserve">rotección y </w:t>
      </w:r>
      <w:r w:rsidR="00F43575" w:rsidRPr="008D6D6A">
        <w:rPr>
          <w:rFonts w:ascii="Verdana" w:hAnsi="Verdana" w:cs="Times New Roman"/>
          <w:sz w:val="20"/>
          <w:szCs w:val="20"/>
        </w:rPr>
        <w:t>P</w:t>
      </w:r>
      <w:r w:rsidR="00984914">
        <w:rPr>
          <w:rFonts w:ascii="Verdana" w:hAnsi="Verdana" w:cs="Times New Roman"/>
          <w:sz w:val="20"/>
          <w:szCs w:val="20"/>
        </w:rPr>
        <w:t xml:space="preserve">romoción </w:t>
      </w:r>
      <w:r w:rsidR="00F43575" w:rsidRPr="008D6D6A">
        <w:rPr>
          <w:rFonts w:ascii="Verdana" w:hAnsi="Verdana" w:cs="Times New Roman"/>
          <w:sz w:val="20"/>
          <w:szCs w:val="20"/>
        </w:rPr>
        <w:t>R</w:t>
      </w:r>
      <w:r w:rsidR="00984914">
        <w:rPr>
          <w:rFonts w:ascii="Verdana" w:hAnsi="Verdana" w:cs="Times New Roman"/>
          <w:sz w:val="20"/>
          <w:szCs w:val="20"/>
        </w:rPr>
        <w:t xml:space="preserve">ecíproca de </w:t>
      </w:r>
      <w:r w:rsidR="00F43575" w:rsidRPr="008D6D6A">
        <w:rPr>
          <w:rFonts w:ascii="Verdana" w:hAnsi="Verdana" w:cs="Times New Roman"/>
          <w:sz w:val="20"/>
          <w:szCs w:val="20"/>
        </w:rPr>
        <w:t>I</w:t>
      </w:r>
      <w:r w:rsidR="00984914">
        <w:rPr>
          <w:rFonts w:ascii="Verdana" w:hAnsi="Verdana" w:cs="Times New Roman"/>
          <w:sz w:val="20"/>
          <w:szCs w:val="20"/>
        </w:rPr>
        <w:t>nversión (APPRI)</w:t>
      </w:r>
      <w:r w:rsidR="00B5408E" w:rsidRPr="008D6D6A">
        <w:rPr>
          <w:rFonts w:ascii="Verdana" w:hAnsi="Verdana" w:cs="Times New Roman"/>
          <w:sz w:val="20"/>
          <w:szCs w:val="20"/>
        </w:rPr>
        <w:t xml:space="preserve"> se i</w:t>
      </w:r>
      <w:r w:rsidR="00444EB5" w:rsidRPr="008D6D6A">
        <w:rPr>
          <w:rFonts w:ascii="Verdana" w:hAnsi="Verdana" w:cs="Times New Roman"/>
          <w:sz w:val="20"/>
          <w:szCs w:val="20"/>
        </w:rPr>
        <w:t>nterpreten de manera coherente,</w:t>
      </w:r>
      <w:r w:rsidR="00B5408E" w:rsidRPr="008D6D6A">
        <w:rPr>
          <w:rFonts w:ascii="Verdana" w:hAnsi="Verdana" w:cs="Times New Roman"/>
          <w:sz w:val="20"/>
          <w:szCs w:val="20"/>
        </w:rPr>
        <w:t xml:space="preserve"> lógica. La consisten</w:t>
      </w:r>
      <w:r w:rsidR="00F43575" w:rsidRPr="008D6D6A">
        <w:rPr>
          <w:rFonts w:ascii="Verdana" w:hAnsi="Verdana" w:cs="Times New Roman"/>
          <w:sz w:val="20"/>
          <w:szCs w:val="20"/>
        </w:rPr>
        <w:t>cia en la interpretación del tratado</w:t>
      </w:r>
      <w:r w:rsidR="00B5408E" w:rsidRPr="008D6D6A">
        <w:rPr>
          <w:rFonts w:ascii="Verdana" w:hAnsi="Verdana" w:cs="Times New Roman"/>
          <w:sz w:val="20"/>
          <w:szCs w:val="20"/>
        </w:rPr>
        <w:t xml:space="preserve"> es especialmente importante porque no existe un sistema formal de </w:t>
      </w:r>
      <w:r w:rsidR="00B5408E" w:rsidRPr="008D6D6A">
        <w:rPr>
          <w:rFonts w:ascii="Verdana" w:hAnsi="Verdana" w:cs="Times New Roman"/>
          <w:i/>
          <w:sz w:val="20"/>
          <w:szCs w:val="20"/>
        </w:rPr>
        <w:t>stare decisis</w:t>
      </w:r>
      <w:r w:rsidR="00B5408E" w:rsidRPr="008D6D6A">
        <w:rPr>
          <w:rFonts w:ascii="Verdana" w:hAnsi="Verdana" w:cs="Times New Roman"/>
          <w:sz w:val="20"/>
          <w:szCs w:val="20"/>
        </w:rPr>
        <w:t xml:space="preserve"> o precedente dentro de este régimen de tratados. La credibilidad de todo el sistema de solución de controversias inversionista-Estado se socava </w:t>
      </w:r>
      <w:r w:rsidR="00901098" w:rsidRPr="008D6D6A">
        <w:rPr>
          <w:rFonts w:ascii="Verdana" w:hAnsi="Verdana" w:cs="Times New Roman"/>
          <w:sz w:val="20"/>
          <w:szCs w:val="20"/>
        </w:rPr>
        <w:t>cuando se emiten decisiones in</w:t>
      </w:r>
      <w:r w:rsidR="00B5408E" w:rsidRPr="008D6D6A">
        <w:rPr>
          <w:rFonts w:ascii="Verdana" w:hAnsi="Verdana" w:cs="Times New Roman"/>
          <w:sz w:val="20"/>
          <w:szCs w:val="20"/>
        </w:rPr>
        <w:t xml:space="preserve">conciliables. </w:t>
      </w:r>
      <w:r w:rsidR="000837C6" w:rsidRPr="008D6D6A">
        <w:rPr>
          <w:rFonts w:ascii="Verdana" w:hAnsi="Verdana" w:cs="Times New Roman"/>
          <w:sz w:val="20"/>
          <w:szCs w:val="20"/>
        </w:rPr>
        <w:t xml:space="preserve">Estos </w:t>
      </w:r>
      <w:r w:rsidR="00B5408E" w:rsidRPr="008D6D6A">
        <w:rPr>
          <w:rFonts w:ascii="Verdana" w:hAnsi="Verdana" w:cs="Times New Roman"/>
          <w:sz w:val="20"/>
          <w:szCs w:val="20"/>
        </w:rPr>
        <w:t xml:space="preserve">incidentes </w:t>
      </w:r>
      <w:r w:rsidR="000837C6" w:rsidRPr="008D6D6A">
        <w:rPr>
          <w:rFonts w:ascii="Verdana" w:hAnsi="Verdana" w:cs="Times New Roman"/>
          <w:sz w:val="20"/>
          <w:szCs w:val="20"/>
        </w:rPr>
        <w:t xml:space="preserve">siguen produciéndose en </w:t>
      </w:r>
      <w:r w:rsidR="00B5408E" w:rsidRPr="008D6D6A">
        <w:rPr>
          <w:rFonts w:ascii="Verdana" w:hAnsi="Verdana" w:cs="Times New Roman"/>
          <w:sz w:val="20"/>
          <w:szCs w:val="20"/>
        </w:rPr>
        <w:t>la práctica</w:t>
      </w:r>
      <w:r w:rsidR="00B5408E" w:rsidRPr="008D6D6A">
        <w:rPr>
          <w:rStyle w:val="Refdenotaalpie"/>
          <w:rFonts w:ascii="Verdana" w:hAnsi="Verdana" w:cs="Times New Roman"/>
          <w:sz w:val="20"/>
          <w:szCs w:val="20"/>
        </w:rPr>
        <w:footnoteReference w:id="98"/>
      </w:r>
      <w:r w:rsidR="00984914">
        <w:rPr>
          <w:rFonts w:ascii="Verdana" w:hAnsi="Verdana" w:cs="Times New Roman"/>
          <w:sz w:val="20"/>
          <w:szCs w:val="20"/>
        </w:rPr>
        <w:t>,</w:t>
      </w:r>
      <w:r w:rsidR="000837C6" w:rsidRPr="008D6D6A">
        <w:rPr>
          <w:rFonts w:ascii="Verdana" w:hAnsi="Verdana" w:cs="Times New Roman"/>
          <w:sz w:val="20"/>
          <w:szCs w:val="20"/>
        </w:rPr>
        <w:t xml:space="preserve"> </w:t>
      </w:r>
      <w:r w:rsidR="00F65E98" w:rsidRPr="008D6D6A">
        <w:rPr>
          <w:rFonts w:ascii="Verdana" w:hAnsi="Verdana" w:cs="Times New Roman"/>
          <w:sz w:val="20"/>
          <w:szCs w:val="20"/>
        </w:rPr>
        <w:t>este</w:t>
      </w:r>
      <w:r w:rsidR="00B5408E" w:rsidRPr="008D6D6A">
        <w:rPr>
          <w:rFonts w:ascii="Verdana" w:hAnsi="Verdana" w:cs="Times New Roman"/>
          <w:sz w:val="20"/>
          <w:szCs w:val="20"/>
        </w:rPr>
        <w:t xml:space="preserve"> tipo de conflicto afecta la c</w:t>
      </w:r>
      <w:r w:rsidR="00C86097" w:rsidRPr="008D6D6A">
        <w:rPr>
          <w:rFonts w:ascii="Verdana" w:hAnsi="Verdana" w:cs="Times New Roman"/>
          <w:sz w:val="20"/>
          <w:szCs w:val="20"/>
        </w:rPr>
        <w:t>redibilidad general del sistema y</w:t>
      </w:r>
      <w:r w:rsidR="00B5408E" w:rsidRPr="008D6D6A">
        <w:rPr>
          <w:rFonts w:ascii="Verdana" w:hAnsi="Verdana" w:cs="Times New Roman"/>
          <w:sz w:val="20"/>
          <w:szCs w:val="20"/>
        </w:rPr>
        <w:t xml:space="preserve"> los Estados tienen interés en evitarlo siempre que sea posible. La participación de los Estados Parte</w:t>
      </w:r>
      <w:r w:rsidR="00616048" w:rsidRPr="008D6D6A">
        <w:rPr>
          <w:rFonts w:ascii="Verdana" w:hAnsi="Verdana" w:cs="Times New Roman"/>
          <w:sz w:val="20"/>
          <w:szCs w:val="20"/>
        </w:rPr>
        <w:t>s</w:t>
      </w:r>
      <w:r w:rsidR="00B0292A" w:rsidRPr="008D6D6A">
        <w:rPr>
          <w:rFonts w:ascii="Verdana" w:hAnsi="Verdana" w:cs="Times New Roman"/>
          <w:sz w:val="20"/>
          <w:szCs w:val="20"/>
        </w:rPr>
        <w:t xml:space="preserve"> del tr</w:t>
      </w:r>
      <w:r w:rsidR="001416F0" w:rsidRPr="008D6D6A">
        <w:rPr>
          <w:rFonts w:ascii="Verdana" w:hAnsi="Verdana" w:cs="Times New Roman"/>
          <w:sz w:val="20"/>
          <w:szCs w:val="20"/>
        </w:rPr>
        <w:t>atado</w:t>
      </w:r>
      <w:r w:rsidR="00B0292A" w:rsidRPr="008D6D6A">
        <w:rPr>
          <w:rFonts w:ascii="Verdana" w:hAnsi="Verdana" w:cs="Times New Roman"/>
          <w:sz w:val="20"/>
          <w:szCs w:val="20"/>
        </w:rPr>
        <w:t xml:space="preserve"> no contendientes,</w:t>
      </w:r>
      <w:r w:rsidR="00B5408E" w:rsidRPr="008D6D6A">
        <w:rPr>
          <w:rFonts w:ascii="Verdana" w:hAnsi="Verdana" w:cs="Times New Roman"/>
          <w:sz w:val="20"/>
          <w:szCs w:val="20"/>
        </w:rPr>
        <w:t xml:space="preserve"> es una de las formas en que los Estados pueden garantizar </w:t>
      </w:r>
      <w:r w:rsidR="00B0292A" w:rsidRPr="008D6D6A">
        <w:rPr>
          <w:rFonts w:ascii="Verdana" w:hAnsi="Verdana" w:cs="Times New Roman"/>
          <w:sz w:val="20"/>
          <w:szCs w:val="20"/>
        </w:rPr>
        <w:t xml:space="preserve">la existencia </w:t>
      </w:r>
      <w:r w:rsidRPr="008D6D6A">
        <w:rPr>
          <w:rFonts w:ascii="Verdana" w:hAnsi="Verdana" w:cs="Times New Roman"/>
          <w:sz w:val="20"/>
          <w:szCs w:val="20"/>
        </w:rPr>
        <w:t xml:space="preserve">de </w:t>
      </w:r>
      <w:r w:rsidR="00B5408E" w:rsidRPr="008D6D6A">
        <w:rPr>
          <w:rFonts w:ascii="Verdana" w:hAnsi="Verdana" w:cs="Times New Roman"/>
          <w:sz w:val="20"/>
          <w:szCs w:val="20"/>
        </w:rPr>
        <w:t>una jurisprudencia</w:t>
      </w:r>
      <w:r w:rsidR="00311ED1">
        <w:rPr>
          <w:rFonts w:ascii="Verdana" w:hAnsi="Verdana" w:cs="Times New Roman"/>
          <w:sz w:val="20"/>
          <w:szCs w:val="20"/>
        </w:rPr>
        <w:t xml:space="preserve"> coherente y la integridad</w:t>
      </w:r>
      <w:r w:rsidR="00B5408E" w:rsidRPr="008D6D6A">
        <w:rPr>
          <w:rFonts w:ascii="Verdana" w:hAnsi="Verdana" w:cs="Times New Roman"/>
          <w:sz w:val="20"/>
          <w:szCs w:val="20"/>
        </w:rPr>
        <w:t xml:space="preserve"> del sistema arbitral.</w:t>
      </w:r>
    </w:p>
    <w:p w:rsidR="00C659F1" w:rsidRPr="008D6D6A" w:rsidRDefault="00ED188E"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Independientemente</w:t>
      </w:r>
      <w:r w:rsidR="006F68D3" w:rsidRPr="008D6D6A">
        <w:rPr>
          <w:rFonts w:ascii="Verdana" w:hAnsi="Verdana" w:cs="Times New Roman"/>
          <w:sz w:val="20"/>
          <w:szCs w:val="20"/>
        </w:rPr>
        <w:t xml:space="preserve"> de la facultad de los Estados Parte</w:t>
      </w:r>
      <w:r w:rsidR="006A3C34">
        <w:rPr>
          <w:rFonts w:ascii="Verdana" w:hAnsi="Verdana" w:cs="Times New Roman"/>
          <w:sz w:val="20"/>
          <w:szCs w:val="20"/>
        </w:rPr>
        <w:t>s</w:t>
      </w:r>
      <w:r w:rsidR="006F68D3" w:rsidRPr="008D6D6A">
        <w:rPr>
          <w:rFonts w:ascii="Verdana" w:hAnsi="Verdana" w:cs="Times New Roman"/>
          <w:sz w:val="20"/>
          <w:szCs w:val="20"/>
        </w:rPr>
        <w:t xml:space="preserve"> no contendientes para presentar escritos ante el tribunal arbitral, el art</w:t>
      </w:r>
      <w:r w:rsidR="001706E4" w:rsidRPr="008D6D6A">
        <w:rPr>
          <w:rFonts w:ascii="Verdana" w:hAnsi="Verdana" w:cs="Times New Roman"/>
          <w:sz w:val="20"/>
          <w:szCs w:val="20"/>
        </w:rPr>
        <w:t xml:space="preserve">ículo </w:t>
      </w:r>
      <w:r w:rsidR="006F68D3" w:rsidRPr="008D6D6A">
        <w:rPr>
          <w:rFonts w:ascii="Verdana" w:hAnsi="Verdana" w:cs="Times New Roman"/>
          <w:sz w:val="20"/>
          <w:szCs w:val="20"/>
        </w:rPr>
        <w:t xml:space="preserve">5.1 del Reglamento permite </w:t>
      </w:r>
      <w:r w:rsidR="001706E4" w:rsidRPr="008D6D6A">
        <w:rPr>
          <w:rFonts w:ascii="Verdana" w:hAnsi="Verdana" w:cs="Times New Roman"/>
          <w:sz w:val="20"/>
          <w:szCs w:val="20"/>
        </w:rPr>
        <w:t xml:space="preserve">que el </w:t>
      </w:r>
      <w:r w:rsidR="00C659F1" w:rsidRPr="008D6D6A">
        <w:rPr>
          <w:rFonts w:ascii="Verdana" w:hAnsi="Verdana" w:cs="Times New Roman"/>
          <w:sz w:val="20"/>
          <w:szCs w:val="20"/>
        </w:rPr>
        <w:t xml:space="preserve">tribunal </w:t>
      </w:r>
      <w:r w:rsidR="001706E4" w:rsidRPr="008D6D6A">
        <w:rPr>
          <w:rFonts w:ascii="Verdana" w:hAnsi="Verdana" w:cs="Times New Roman"/>
          <w:sz w:val="20"/>
          <w:szCs w:val="20"/>
        </w:rPr>
        <w:t xml:space="preserve">pueda </w:t>
      </w:r>
      <w:r w:rsidR="006F68D3" w:rsidRPr="008D6D6A">
        <w:rPr>
          <w:rFonts w:ascii="Verdana" w:hAnsi="Verdana" w:cs="Times New Roman"/>
          <w:sz w:val="20"/>
          <w:szCs w:val="20"/>
        </w:rPr>
        <w:t>invitar a dichos Estados a que presenten escritos sobre cuestiones relativas a la interpretación del tratado. Sin embargo, ante la ausencia de respuesta a tal invitación</w:t>
      </w:r>
      <w:r w:rsidR="00C659F1" w:rsidRPr="008D6D6A">
        <w:rPr>
          <w:rFonts w:ascii="Verdana" w:hAnsi="Verdana" w:cs="Times New Roman"/>
          <w:sz w:val="20"/>
          <w:szCs w:val="20"/>
        </w:rPr>
        <w:t>, el tribunal no está facultado</w:t>
      </w:r>
      <w:r w:rsidR="000827A3" w:rsidRPr="008D6D6A">
        <w:rPr>
          <w:rFonts w:ascii="Verdana" w:hAnsi="Verdana" w:cs="Times New Roman"/>
          <w:sz w:val="20"/>
          <w:szCs w:val="20"/>
        </w:rPr>
        <w:t xml:space="preserve"> </w:t>
      </w:r>
      <w:r w:rsidR="00C659F1" w:rsidRPr="008D6D6A">
        <w:rPr>
          <w:rFonts w:ascii="Verdana" w:hAnsi="Verdana" w:cs="Times New Roman"/>
          <w:sz w:val="20"/>
          <w:szCs w:val="20"/>
        </w:rPr>
        <w:t xml:space="preserve">para </w:t>
      </w:r>
      <w:r w:rsidR="006F68D3" w:rsidRPr="008D6D6A">
        <w:rPr>
          <w:rFonts w:ascii="Verdana" w:hAnsi="Verdana" w:cs="Times New Roman"/>
          <w:sz w:val="20"/>
          <w:szCs w:val="20"/>
        </w:rPr>
        <w:t>extraer conclusiones de dicha actitud silente o reacia a pronunciarse</w:t>
      </w:r>
      <w:r w:rsidR="006F68D3" w:rsidRPr="008D6D6A">
        <w:rPr>
          <w:rStyle w:val="Refdenotaalpie"/>
          <w:rFonts w:ascii="Verdana" w:hAnsi="Verdana" w:cs="Times New Roman"/>
          <w:sz w:val="20"/>
          <w:szCs w:val="20"/>
        </w:rPr>
        <w:footnoteReference w:id="99"/>
      </w:r>
      <w:r w:rsidR="006F68D3" w:rsidRPr="008D6D6A">
        <w:rPr>
          <w:rFonts w:ascii="Verdana" w:hAnsi="Verdana" w:cs="Times New Roman"/>
          <w:sz w:val="20"/>
          <w:szCs w:val="20"/>
        </w:rPr>
        <w:t xml:space="preserve">. El Reglamento </w:t>
      </w:r>
      <w:r w:rsidR="0072424D" w:rsidRPr="008D6D6A">
        <w:rPr>
          <w:rFonts w:ascii="Verdana" w:hAnsi="Verdana" w:cs="Times New Roman"/>
          <w:sz w:val="20"/>
          <w:szCs w:val="20"/>
        </w:rPr>
        <w:t>adopta así una actitud permisiva</w:t>
      </w:r>
      <w:r w:rsidR="006F68D3" w:rsidRPr="008D6D6A">
        <w:rPr>
          <w:rFonts w:ascii="Verdana" w:hAnsi="Verdana" w:cs="Times New Roman"/>
          <w:sz w:val="20"/>
          <w:szCs w:val="20"/>
        </w:rPr>
        <w:t>, cuando</w:t>
      </w:r>
      <w:r w:rsidR="00C659F1" w:rsidRPr="008D6D6A">
        <w:rPr>
          <w:rFonts w:ascii="Verdana" w:hAnsi="Verdana" w:cs="Times New Roman"/>
          <w:sz w:val="20"/>
          <w:szCs w:val="20"/>
        </w:rPr>
        <w:t>,</w:t>
      </w:r>
      <w:r w:rsidR="006F68D3" w:rsidRPr="008D6D6A">
        <w:rPr>
          <w:rFonts w:ascii="Verdana" w:hAnsi="Verdana" w:cs="Times New Roman"/>
          <w:sz w:val="20"/>
          <w:szCs w:val="20"/>
        </w:rPr>
        <w:t xml:space="preserve"> a nuestro juicio, </w:t>
      </w:r>
      <w:r w:rsidR="00C659F1" w:rsidRPr="008D6D6A">
        <w:rPr>
          <w:rFonts w:ascii="Verdana" w:hAnsi="Verdana" w:cs="Times New Roman"/>
          <w:sz w:val="20"/>
          <w:szCs w:val="20"/>
        </w:rPr>
        <w:t>debería haber establecido la obligación de los Estados Parte</w:t>
      </w:r>
      <w:r w:rsidR="006A3C34">
        <w:rPr>
          <w:rFonts w:ascii="Verdana" w:hAnsi="Verdana" w:cs="Times New Roman"/>
          <w:sz w:val="20"/>
          <w:szCs w:val="20"/>
        </w:rPr>
        <w:t>s</w:t>
      </w:r>
      <w:r w:rsidR="00C659F1" w:rsidRPr="008D6D6A">
        <w:rPr>
          <w:rFonts w:ascii="Verdana" w:hAnsi="Verdana" w:cs="Times New Roman"/>
          <w:sz w:val="20"/>
          <w:szCs w:val="20"/>
        </w:rPr>
        <w:t xml:space="preserve"> no contendientes de seguir el requerimiento del tribunal, con el objeto de clarificar los puntos controvertidos y propiciar, de este modo, una mayor seguridad jurídica</w:t>
      </w:r>
      <w:r w:rsidR="006F68D3" w:rsidRPr="008D6D6A">
        <w:rPr>
          <w:rFonts w:ascii="Verdana" w:hAnsi="Verdana" w:cs="Times New Roman"/>
          <w:sz w:val="20"/>
          <w:szCs w:val="20"/>
        </w:rPr>
        <w:t xml:space="preserve">, teniendo en cuenta la repercusión que tienen dichos escritos o comunicaciones en la uniformidad interpretativa del tratado en el que se basa el proceso arbitral y hasta en el propio laudo final. </w:t>
      </w:r>
    </w:p>
    <w:p w:rsidR="006F68D3" w:rsidRPr="008D6D6A" w:rsidRDefault="00C659F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En otro orden de cosas</w:t>
      </w:r>
      <w:r w:rsidR="006F68D3" w:rsidRPr="008D6D6A">
        <w:rPr>
          <w:rFonts w:ascii="Verdana" w:hAnsi="Verdana" w:cs="Times New Roman"/>
          <w:sz w:val="20"/>
          <w:szCs w:val="20"/>
        </w:rPr>
        <w:t xml:space="preserve">, </w:t>
      </w:r>
      <w:r w:rsidRPr="008D6D6A">
        <w:rPr>
          <w:rFonts w:ascii="Verdana" w:hAnsi="Verdana" w:cs="Times New Roman"/>
          <w:sz w:val="20"/>
          <w:szCs w:val="20"/>
        </w:rPr>
        <w:t xml:space="preserve">es preciso recordar que, </w:t>
      </w:r>
      <w:r w:rsidR="006F68D3" w:rsidRPr="008D6D6A">
        <w:rPr>
          <w:rFonts w:ascii="Verdana" w:hAnsi="Verdana" w:cs="Times New Roman"/>
          <w:sz w:val="20"/>
          <w:szCs w:val="20"/>
        </w:rPr>
        <w:t xml:space="preserve">ante la existencia de escritos presentados por las partes, el Reglamento establece que el tribunal arbitral debe velar porque los mismos no perturben el procedimiento ni cause perjuicios indebidos a las </w:t>
      </w:r>
      <w:r w:rsidR="006F68D3" w:rsidRPr="008D6D6A">
        <w:rPr>
          <w:rFonts w:ascii="Verdana" w:hAnsi="Verdana" w:cs="Times New Roman"/>
          <w:sz w:val="20"/>
          <w:szCs w:val="20"/>
        </w:rPr>
        <w:lastRenderedPageBreak/>
        <w:t>partes</w:t>
      </w:r>
      <w:r w:rsidR="006F68D3" w:rsidRPr="008D6D6A">
        <w:rPr>
          <w:rStyle w:val="Refdenotaalpie"/>
          <w:rFonts w:ascii="Verdana" w:hAnsi="Verdana" w:cs="Times New Roman"/>
          <w:sz w:val="20"/>
          <w:szCs w:val="20"/>
        </w:rPr>
        <w:footnoteReference w:id="100"/>
      </w:r>
      <w:r w:rsidR="006F68D3" w:rsidRPr="008D6D6A">
        <w:rPr>
          <w:rFonts w:ascii="Verdana" w:hAnsi="Verdana" w:cs="Times New Roman"/>
          <w:sz w:val="20"/>
          <w:szCs w:val="20"/>
        </w:rPr>
        <w:t>, dándole la posibilidad a las Partes contendientes de presentar sus alegaciones</w:t>
      </w:r>
      <w:r w:rsidR="006F68D3" w:rsidRPr="008D6D6A">
        <w:rPr>
          <w:rStyle w:val="Refdenotaalpie"/>
          <w:rFonts w:ascii="Verdana" w:hAnsi="Verdana" w:cs="Times New Roman"/>
          <w:sz w:val="20"/>
          <w:szCs w:val="20"/>
        </w:rPr>
        <w:footnoteReference w:id="101"/>
      </w:r>
      <w:r w:rsidR="006F68D3" w:rsidRPr="008D6D6A">
        <w:rPr>
          <w:rFonts w:ascii="Verdana" w:hAnsi="Verdana" w:cs="Times New Roman"/>
          <w:sz w:val="20"/>
          <w:szCs w:val="20"/>
        </w:rPr>
        <w:t xml:space="preserve">. </w:t>
      </w:r>
    </w:p>
    <w:p w:rsidR="00F6176A" w:rsidRPr="008D6D6A" w:rsidRDefault="00D7123A"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En consecuencia</w:t>
      </w:r>
      <w:r w:rsidR="00546B9B" w:rsidRPr="008D6D6A">
        <w:rPr>
          <w:rFonts w:ascii="Verdana" w:hAnsi="Verdana" w:cs="Times New Roman"/>
          <w:sz w:val="20"/>
          <w:szCs w:val="20"/>
        </w:rPr>
        <w:t>,</w:t>
      </w:r>
      <w:r w:rsidRPr="008D6D6A">
        <w:rPr>
          <w:rFonts w:ascii="Verdana" w:hAnsi="Verdana" w:cs="Times New Roman"/>
          <w:sz w:val="20"/>
          <w:szCs w:val="20"/>
        </w:rPr>
        <w:t xml:space="preserve"> y desde el punto de vista práctico, </w:t>
      </w:r>
      <w:r w:rsidR="005421AE" w:rsidRPr="008D6D6A">
        <w:rPr>
          <w:rFonts w:ascii="Verdana" w:hAnsi="Verdana" w:cs="Times New Roman"/>
          <w:sz w:val="20"/>
          <w:szCs w:val="20"/>
        </w:rPr>
        <w:t xml:space="preserve">creemos que </w:t>
      </w:r>
      <w:r w:rsidR="00307366" w:rsidRPr="008D6D6A">
        <w:rPr>
          <w:rFonts w:ascii="Verdana" w:hAnsi="Verdana" w:cs="Times New Roman"/>
          <w:sz w:val="20"/>
          <w:szCs w:val="20"/>
        </w:rPr>
        <w:t xml:space="preserve">reconocer </w:t>
      </w:r>
      <w:r w:rsidR="005421AE" w:rsidRPr="008D6D6A">
        <w:rPr>
          <w:rFonts w:ascii="Verdana" w:hAnsi="Verdana" w:cs="Times New Roman"/>
          <w:sz w:val="20"/>
          <w:szCs w:val="20"/>
        </w:rPr>
        <w:t>legal</w:t>
      </w:r>
      <w:r w:rsidR="00307366" w:rsidRPr="008D6D6A">
        <w:rPr>
          <w:rFonts w:ascii="Verdana" w:hAnsi="Verdana" w:cs="Times New Roman"/>
          <w:sz w:val="20"/>
          <w:szCs w:val="20"/>
        </w:rPr>
        <w:t>mente en uno</w:t>
      </w:r>
      <w:r w:rsidR="005421AE" w:rsidRPr="008D6D6A">
        <w:rPr>
          <w:rFonts w:ascii="Verdana" w:hAnsi="Verdana" w:cs="Times New Roman"/>
          <w:sz w:val="20"/>
          <w:szCs w:val="20"/>
        </w:rPr>
        <w:t xml:space="preserve"> de los preceptos del Reglamento</w:t>
      </w:r>
      <w:r w:rsidR="00A12B58" w:rsidRPr="008D6D6A">
        <w:rPr>
          <w:rFonts w:ascii="Verdana" w:hAnsi="Verdana" w:cs="Times New Roman"/>
          <w:sz w:val="20"/>
          <w:szCs w:val="20"/>
        </w:rPr>
        <w:t>,</w:t>
      </w:r>
      <w:r w:rsidRPr="008D6D6A">
        <w:rPr>
          <w:rFonts w:ascii="Verdana" w:hAnsi="Verdana" w:cs="Times New Roman"/>
          <w:sz w:val="20"/>
          <w:szCs w:val="20"/>
        </w:rPr>
        <w:t xml:space="preserve"> </w:t>
      </w:r>
      <w:r w:rsidR="005421AE" w:rsidRPr="008D6D6A">
        <w:rPr>
          <w:rFonts w:ascii="Verdana" w:hAnsi="Verdana" w:cs="Times New Roman"/>
          <w:sz w:val="20"/>
          <w:szCs w:val="20"/>
        </w:rPr>
        <w:t xml:space="preserve">la </w:t>
      </w:r>
      <w:r w:rsidRPr="008D6D6A">
        <w:rPr>
          <w:rFonts w:ascii="Verdana" w:hAnsi="Verdana" w:cs="Times New Roman"/>
          <w:sz w:val="20"/>
          <w:szCs w:val="20"/>
        </w:rPr>
        <w:t>obligaci</w:t>
      </w:r>
      <w:r w:rsidR="005421AE" w:rsidRPr="008D6D6A">
        <w:rPr>
          <w:rFonts w:ascii="Verdana" w:hAnsi="Verdana" w:cs="Times New Roman"/>
          <w:sz w:val="20"/>
          <w:szCs w:val="20"/>
        </w:rPr>
        <w:t>ón del tribunal arbitral para pronunciarse en caso de ausencia de escritos o respuesta ante una invitación formulada por éste</w:t>
      </w:r>
      <w:r w:rsidR="00546B9B" w:rsidRPr="008D6D6A">
        <w:rPr>
          <w:rFonts w:ascii="Verdana" w:hAnsi="Verdana" w:cs="Times New Roman"/>
          <w:sz w:val="20"/>
          <w:szCs w:val="20"/>
        </w:rPr>
        <w:t xml:space="preserve"> a las P</w:t>
      </w:r>
      <w:r w:rsidR="00307366" w:rsidRPr="008D6D6A">
        <w:rPr>
          <w:rFonts w:ascii="Verdana" w:hAnsi="Verdana" w:cs="Times New Roman"/>
          <w:sz w:val="20"/>
          <w:szCs w:val="20"/>
        </w:rPr>
        <w:t>artes del tratado no contendiente</w:t>
      </w:r>
      <w:r w:rsidR="007F0A1F" w:rsidRPr="008D6D6A">
        <w:rPr>
          <w:rFonts w:ascii="Verdana" w:hAnsi="Verdana" w:cs="Times New Roman"/>
          <w:sz w:val="20"/>
          <w:szCs w:val="20"/>
        </w:rPr>
        <w:t>s</w:t>
      </w:r>
      <w:r w:rsidR="005421AE" w:rsidRPr="008D6D6A">
        <w:rPr>
          <w:rFonts w:ascii="Verdana" w:hAnsi="Verdana" w:cs="Times New Roman"/>
          <w:sz w:val="20"/>
          <w:szCs w:val="20"/>
        </w:rPr>
        <w:t>,</w:t>
      </w:r>
      <w:r w:rsidR="00307366" w:rsidRPr="008D6D6A">
        <w:rPr>
          <w:rFonts w:ascii="Verdana" w:hAnsi="Verdana" w:cs="Times New Roman"/>
          <w:sz w:val="20"/>
          <w:szCs w:val="20"/>
        </w:rPr>
        <w:t xml:space="preserve"> incentivaría la participación de estos en el procedimiento arbitral y, en cierta medida, podría estimular </w:t>
      </w:r>
      <w:r w:rsidR="00A12B58" w:rsidRPr="008D6D6A">
        <w:rPr>
          <w:rFonts w:ascii="Verdana" w:hAnsi="Verdana" w:cs="Times New Roman"/>
          <w:sz w:val="20"/>
          <w:szCs w:val="20"/>
        </w:rPr>
        <w:t xml:space="preserve">a los Estados para </w:t>
      </w:r>
      <w:r w:rsidR="00307366" w:rsidRPr="008D6D6A">
        <w:rPr>
          <w:rFonts w:ascii="Verdana" w:hAnsi="Verdana" w:cs="Times New Roman"/>
          <w:sz w:val="20"/>
          <w:szCs w:val="20"/>
        </w:rPr>
        <w:t>establecer dicha obligaci</w:t>
      </w:r>
      <w:r w:rsidR="00A12B58" w:rsidRPr="008D6D6A">
        <w:rPr>
          <w:rFonts w:ascii="Verdana" w:hAnsi="Verdana" w:cs="Times New Roman"/>
          <w:sz w:val="20"/>
          <w:szCs w:val="20"/>
        </w:rPr>
        <w:t>ón respecto a las partes en futuros tratados</w:t>
      </w:r>
      <w:r w:rsidR="00546B9B" w:rsidRPr="008D6D6A">
        <w:rPr>
          <w:rFonts w:ascii="Verdana" w:hAnsi="Verdana" w:cs="Times New Roman"/>
          <w:sz w:val="20"/>
          <w:szCs w:val="20"/>
        </w:rPr>
        <w:t>,</w:t>
      </w:r>
      <w:r w:rsidR="00CF45A9" w:rsidRPr="008D6D6A">
        <w:rPr>
          <w:rFonts w:ascii="Verdana" w:hAnsi="Verdana" w:cs="Times New Roman"/>
          <w:sz w:val="20"/>
          <w:szCs w:val="20"/>
        </w:rPr>
        <w:t xml:space="preserve"> o</w:t>
      </w:r>
      <w:r w:rsidR="00A12B58" w:rsidRPr="008D6D6A">
        <w:rPr>
          <w:rFonts w:ascii="Verdana" w:hAnsi="Verdana" w:cs="Times New Roman"/>
          <w:sz w:val="20"/>
          <w:szCs w:val="20"/>
        </w:rPr>
        <w:t xml:space="preserve"> renegociar los existentes en ausencia de dicha obligación</w:t>
      </w:r>
      <w:r w:rsidR="009354AC" w:rsidRPr="008D6D6A">
        <w:rPr>
          <w:rFonts w:ascii="Verdana" w:hAnsi="Verdana" w:cs="Times New Roman"/>
          <w:sz w:val="20"/>
          <w:szCs w:val="20"/>
        </w:rPr>
        <w:t xml:space="preserve">. </w:t>
      </w:r>
      <w:r w:rsidR="00A12B58" w:rsidRPr="008D6D6A">
        <w:rPr>
          <w:rFonts w:ascii="Verdana" w:hAnsi="Verdana" w:cs="Times New Roman"/>
          <w:sz w:val="20"/>
          <w:szCs w:val="20"/>
        </w:rPr>
        <w:t xml:space="preserve">En este sentido, </w:t>
      </w:r>
      <w:r w:rsidR="00B5766C" w:rsidRPr="008D6D6A">
        <w:rPr>
          <w:rFonts w:ascii="Verdana" w:hAnsi="Verdana" w:cs="Times New Roman"/>
          <w:sz w:val="20"/>
          <w:szCs w:val="20"/>
        </w:rPr>
        <w:t>debe reconocerse</w:t>
      </w:r>
      <w:r w:rsidR="009354AC" w:rsidRPr="008D6D6A">
        <w:rPr>
          <w:rFonts w:ascii="Verdana" w:hAnsi="Verdana" w:cs="Times New Roman"/>
          <w:sz w:val="20"/>
          <w:szCs w:val="20"/>
        </w:rPr>
        <w:t xml:space="preserve"> la relevancia del TLCAN</w:t>
      </w:r>
      <w:r w:rsidR="007F0A1F" w:rsidRPr="008D6D6A">
        <w:rPr>
          <w:rFonts w:ascii="Verdana" w:hAnsi="Verdana" w:cs="Times New Roman"/>
          <w:sz w:val="20"/>
          <w:szCs w:val="20"/>
        </w:rPr>
        <w:t xml:space="preserve">, </w:t>
      </w:r>
      <w:r w:rsidR="009354AC" w:rsidRPr="008D6D6A">
        <w:rPr>
          <w:rFonts w:ascii="Verdana" w:hAnsi="Verdana" w:cs="Times New Roman"/>
          <w:sz w:val="20"/>
          <w:szCs w:val="20"/>
        </w:rPr>
        <w:t xml:space="preserve">el cual </w:t>
      </w:r>
      <w:r w:rsidR="007F0A1F" w:rsidRPr="008D6D6A">
        <w:rPr>
          <w:rFonts w:ascii="Verdana" w:hAnsi="Verdana" w:cs="Times New Roman"/>
          <w:sz w:val="20"/>
          <w:szCs w:val="20"/>
        </w:rPr>
        <w:t>en su Capítulo Once</w:t>
      </w:r>
      <w:r w:rsidR="001C172E" w:rsidRPr="008D6D6A">
        <w:rPr>
          <w:rFonts w:ascii="Verdana" w:hAnsi="Verdana" w:cs="Times New Roman"/>
          <w:sz w:val="20"/>
          <w:szCs w:val="20"/>
        </w:rPr>
        <w:t>,</w:t>
      </w:r>
      <w:r w:rsidR="000367E8" w:rsidRPr="008D6D6A">
        <w:rPr>
          <w:rFonts w:ascii="Verdana" w:hAnsi="Verdana" w:cs="Times New Roman"/>
          <w:sz w:val="20"/>
          <w:szCs w:val="20"/>
        </w:rPr>
        <w:t xml:space="preserve"> y</w:t>
      </w:r>
      <w:r w:rsidR="001C172E" w:rsidRPr="008D6D6A">
        <w:rPr>
          <w:rFonts w:ascii="Verdana" w:hAnsi="Verdana" w:cs="Times New Roman"/>
          <w:sz w:val="20"/>
          <w:szCs w:val="20"/>
        </w:rPr>
        <w:t xml:space="preserve"> en virtud del artículo 1128</w:t>
      </w:r>
      <w:r w:rsidR="00D53398" w:rsidRPr="008D6D6A">
        <w:rPr>
          <w:rStyle w:val="Refdenotaalpie"/>
          <w:rFonts w:ascii="Verdana" w:hAnsi="Verdana" w:cs="Times New Roman"/>
          <w:sz w:val="20"/>
          <w:szCs w:val="20"/>
        </w:rPr>
        <w:footnoteReference w:id="102"/>
      </w:r>
      <w:r w:rsidR="001C172E" w:rsidRPr="008D6D6A">
        <w:rPr>
          <w:rFonts w:ascii="Verdana" w:hAnsi="Verdana" w:cs="Times New Roman"/>
          <w:sz w:val="20"/>
          <w:szCs w:val="20"/>
        </w:rPr>
        <w:t xml:space="preserve">, </w:t>
      </w:r>
      <w:r w:rsidR="00CF45A9" w:rsidRPr="008D6D6A">
        <w:rPr>
          <w:rFonts w:ascii="Verdana" w:hAnsi="Verdana" w:cs="Times New Roman"/>
          <w:sz w:val="20"/>
          <w:szCs w:val="20"/>
        </w:rPr>
        <w:t xml:space="preserve">establece que </w:t>
      </w:r>
      <w:r w:rsidR="001C172E" w:rsidRPr="008D6D6A">
        <w:rPr>
          <w:rFonts w:ascii="Verdana" w:hAnsi="Verdana" w:cs="Times New Roman"/>
          <w:sz w:val="20"/>
          <w:szCs w:val="20"/>
        </w:rPr>
        <w:t>los Estados tienen derecho a presentar observaciones sobre una cuestión de interpretación del TLCAN</w:t>
      </w:r>
      <w:r w:rsidR="00474ED6" w:rsidRPr="008D6D6A">
        <w:rPr>
          <w:rFonts w:ascii="Verdana" w:hAnsi="Verdana" w:cs="Times New Roman"/>
          <w:sz w:val="20"/>
          <w:szCs w:val="20"/>
        </w:rPr>
        <w:t>, existiendo</w:t>
      </w:r>
      <w:r w:rsidR="001C172E" w:rsidRPr="008D6D6A">
        <w:rPr>
          <w:rFonts w:ascii="Verdana" w:hAnsi="Verdana" w:cs="Times New Roman"/>
          <w:sz w:val="20"/>
          <w:szCs w:val="20"/>
        </w:rPr>
        <w:t xml:space="preserve"> disposiciones complementarias en los artículos 1127</w:t>
      </w:r>
      <w:r w:rsidR="0074486E" w:rsidRPr="008D6D6A">
        <w:rPr>
          <w:rStyle w:val="Refdenotaalpie"/>
          <w:rFonts w:ascii="Verdana" w:hAnsi="Verdana" w:cs="Times New Roman"/>
          <w:sz w:val="20"/>
          <w:szCs w:val="20"/>
        </w:rPr>
        <w:footnoteReference w:id="103"/>
      </w:r>
      <w:r w:rsidR="001C172E" w:rsidRPr="008D6D6A">
        <w:rPr>
          <w:rFonts w:ascii="Verdana" w:hAnsi="Verdana" w:cs="Times New Roman"/>
          <w:sz w:val="20"/>
          <w:szCs w:val="20"/>
        </w:rPr>
        <w:t xml:space="preserve"> y 1129</w:t>
      </w:r>
      <w:r w:rsidR="0074486E" w:rsidRPr="008D6D6A">
        <w:rPr>
          <w:rStyle w:val="Refdenotaalpie"/>
          <w:rFonts w:ascii="Verdana" w:hAnsi="Verdana" w:cs="Times New Roman"/>
          <w:sz w:val="20"/>
          <w:szCs w:val="20"/>
        </w:rPr>
        <w:footnoteReference w:id="104"/>
      </w:r>
      <w:r w:rsidR="001C172E" w:rsidRPr="008D6D6A">
        <w:rPr>
          <w:rFonts w:ascii="Verdana" w:hAnsi="Verdana" w:cs="Times New Roman"/>
          <w:sz w:val="20"/>
          <w:szCs w:val="20"/>
        </w:rPr>
        <w:t xml:space="preserve"> que estipulan que un Estado que no contesta puede recibir notificación de reclamaciones y copias de alegatos, siendo ésta la vía fundamental e innovadora  para dar voz al Estado no contendiente en los pr</w:t>
      </w:r>
      <w:r w:rsidR="003567B2" w:rsidRPr="008D6D6A">
        <w:rPr>
          <w:rFonts w:ascii="Verdana" w:hAnsi="Verdana" w:cs="Times New Roman"/>
          <w:sz w:val="20"/>
          <w:szCs w:val="20"/>
        </w:rPr>
        <w:t>ocedimientos bajo este c</w:t>
      </w:r>
      <w:r w:rsidR="00B0292A" w:rsidRPr="008D6D6A">
        <w:rPr>
          <w:rFonts w:ascii="Verdana" w:hAnsi="Verdana" w:cs="Times New Roman"/>
          <w:sz w:val="20"/>
          <w:szCs w:val="20"/>
        </w:rPr>
        <w:t>apítulo.</w:t>
      </w:r>
      <w:r w:rsidR="006A3C34">
        <w:rPr>
          <w:rFonts w:ascii="Verdana" w:hAnsi="Verdana" w:cs="Times New Roman"/>
          <w:sz w:val="20"/>
          <w:szCs w:val="20"/>
        </w:rPr>
        <w:t xml:space="preserve"> De esta manera</w:t>
      </w:r>
      <w:r w:rsidR="00F44C07" w:rsidRPr="008D6D6A">
        <w:rPr>
          <w:rFonts w:ascii="Verdana" w:hAnsi="Verdana" w:cs="Times New Roman"/>
          <w:sz w:val="20"/>
          <w:szCs w:val="20"/>
        </w:rPr>
        <w:t>, el artículo 1128 del TLCAN es considerado como una “disposición innovador</w:t>
      </w:r>
      <w:r w:rsidR="00072A1F" w:rsidRPr="008D6D6A">
        <w:rPr>
          <w:rFonts w:ascii="Verdana" w:hAnsi="Verdana" w:cs="Times New Roman"/>
          <w:sz w:val="20"/>
          <w:szCs w:val="20"/>
        </w:rPr>
        <w:t>a</w:t>
      </w:r>
      <w:r w:rsidR="00F44C07" w:rsidRPr="008D6D6A">
        <w:rPr>
          <w:rFonts w:ascii="Verdana" w:hAnsi="Verdana" w:cs="Times New Roman"/>
          <w:sz w:val="20"/>
          <w:szCs w:val="20"/>
        </w:rPr>
        <w:t>”, permitiendo reconocer el interés sistémico de cada Estado Parte en la interpretación del tratado</w:t>
      </w:r>
      <w:r w:rsidR="00F44C07" w:rsidRPr="008D6D6A">
        <w:rPr>
          <w:rStyle w:val="Refdenotaalpie"/>
          <w:rFonts w:ascii="Verdana" w:hAnsi="Verdana" w:cs="Times New Roman"/>
          <w:sz w:val="20"/>
          <w:szCs w:val="20"/>
        </w:rPr>
        <w:footnoteReference w:id="105"/>
      </w:r>
      <w:r w:rsidR="00F44C07" w:rsidRPr="008D6D6A">
        <w:rPr>
          <w:rFonts w:ascii="Verdana" w:hAnsi="Verdana" w:cs="Times New Roman"/>
          <w:sz w:val="20"/>
          <w:szCs w:val="20"/>
        </w:rPr>
        <w:t>.</w:t>
      </w:r>
    </w:p>
    <w:p w:rsidR="001416F0" w:rsidRPr="008D6D6A" w:rsidRDefault="001416F0"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La presentación de escritos o comunicaciones de terceros Partes del tratado no contendientes puede, en ocasiones, </w:t>
      </w:r>
      <w:r w:rsidR="00E11AB9" w:rsidRPr="008D6D6A">
        <w:rPr>
          <w:rFonts w:ascii="Verdana" w:hAnsi="Verdana" w:cs="Times New Roman"/>
          <w:sz w:val="20"/>
          <w:szCs w:val="20"/>
        </w:rPr>
        <w:t>ejercer una cierta</w:t>
      </w:r>
      <w:r w:rsidRPr="008D6D6A">
        <w:rPr>
          <w:rFonts w:ascii="Verdana" w:hAnsi="Verdana" w:cs="Times New Roman"/>
          <w:sz w:val="20"/>
          <w:szCs w:val="20"/>
        </w:rPr>
        <w:t xml:space="preserve"> presión </w:t>
      </w:r>
      <w:r w:rsidR="00E11AB9" w:rsidRPr="008D6D6A">
        <w:rPr>
          <w:rFonts w:ascii="Verdana" w:hAnsi="Verdana" w:cs="Times New Roman"/>
          <w:sz w:val="20"/>
          <w:szCs w:val="20"/>
        </w:rPr>
        <w:t>sobre el</w:t>
      </w:r>
      <w:r w:rsidRPr="008D6D6A">
        <w:rPr>
          <w:rFonts w:ascii="Verdana" w:hAnsi="Verdana" w:cs="Times New Roman"/>
          <w:sz w:val="20"/>
          <w:szCs w:val="20"/>
        </w:rPr>
        <w:t xml:space="preserve"> tribunal arbitral cuando dichas presentaciones son coincid</w:t>
      </w:r>
      <w:r w:rsidR="007F0A1F" w:rsidRPr="008D6D6A">
        <w:rPr>
          <w:rFonts w:ascii="Verdana" w:hAnsi="Verdana" w:cs="Times New Roman"/>
          <w:sz w:val="20"/>
          <w:szCs w:val="20"/>
        </w:rPr>
        <w:t>entes con la posición que asume</w:t>
      </w:r>
      <w:r w:rsidRPr="008D6D6A">
        <w:rPr>
          <w:rFonts w:ascii="Verdana" w:hAnsi="Verdana" w:cs="Times New Roman"/>
          <w:sz w:val="20"/>
          <w:szCs w:val="20"/>
        </w:rPr>
        <w:t xml:space="preserve"> el Estado demandado. En tal sentido, el principal problema que puede surgir es si dicha </w:t>
      </w:r>
      <w:r w:rsidRPr="008D6D6A">
        <w:rPr>
          <w:rFonts w:ascii="Verdana" w:hAnsi="Verdana" w:cs="Times New Roman"/>
          <w:sz w:val="20"/>
          <w:szCs w:val="20"/>
        </w:rPr>
        <w:lastRenderedPageBreak/>
        <w:t xml:space="preserve">coincidencia puede </w:t>
      </w:r>
      <w:r w:rsidR="00E11AB9" w:rsidRPr="008D6D6A">
        <w:rPr>
          <w:rFonts w:ascii="Verdana" w:hAnsi="Verdana" w:cs="Times New Roman"/>
          <w:sz w:val="20"/>
          <w:szCs w:val="20"/>
        </w:rPr>
        <w:t>dificultar</w:t>
      </w:r>
      <w:r w:rsidRPr="008D6D6A">
        <w:rPr>
          <w:rFonts w:ascii="Verdana" w:hAnsi="Verdana" w:cs="Times New Roman"/>
          <w:sz w:val="20"/>
          <w:szCs w:val="20"/>
        </w:rPr>
        <w:t xml:space="preserve"> la aplicación de ciertas garantías de inversión y, p</w:t>
      </w:r>
      <w:r w:rsidR="00A15321" w:rsidRPr="008D6D6A">
        <w:rPr>
          <w:rFonts w:ascii="Verdana" w:hAnsi="Verdana" w:cs="Times New Roman"/>
          <w:sz w:val="20"/>
          <w:szCs w:val="20"/>
        </w:rPr>
        <w:t xml:space="preserve">or lo tanto, ser determinantes </w:t>
      </w:r>
      <w:r w:rsidRPr="008D6D6A">
        <w:rPr>
          <w:rFonts w:ascii="Verdana" w:hAnsi="Verdana" w:cs="Times New Roman"/>
          <w:sz w:val="20"/>
          <w:szCs w:val="20"/>
        </w:rPr>
        <w:t>e</w:t>
      </w:r>
      <w:r w:rsidR="00A15321" w:rsidRPr="008D6D6A">
        <w:rPr>
          <w:rFonts w:ascii="Verdana" w:hAnsi="Verdana" w:cs="Times New Roman"/>
          <w:sz w:val="20"/>
          <w:szCs w:val="20"/>
        </w:rPr>
        <w:t>n</w:t>
      </w:r>
      <w:r w:rsidRPr="008D6D6A">
        <w:rPr>
          <w:rFonts w:ascii="Verdana" w:hAnsi="Verdana" w:cs="Times New Roman"/>
          <w:sz w:val="20"/>
          <w:szCs w:val="20"/>
        </w:rPr>
        <w:t xml:space="preserve"> la</w:t>
      </w:r>
      <w:r w:rsidR="00A15321" w:rsidRPr="008D6D6A">
        <w:rPr>
          <w:rFonts w:ascii="Verdana" w:hAnsi="Verdana" w:cs="Times New Roman"/>
          <w:sz w:val="20"/>
          <w:szCs w:val="20"/>
        </w:rPr>
        <w:t xml:space="preserve"> resolución de la</w:t>
      </w:r>
      <w:r w:rsidRPr="008D6D6A">
        <w:rPr>
          <w:rFonts w:ascii="Verdana" w:hAnsi="Verdana" w:cs="Times New Roman"/>
          <w:sz w:val="20"/>
          <w:szCs w:val="20"/>
        </w:rPr>
        <w:t xml:space="preserve"> disputa</w:t>
      </w:r>
      <w:r w:rsidR="00A15321" w:rsidRPr="008D6D6A">
        <w:rPr>
          <w:rStyle w:val="Refdenotaalpie"/>
          <w:rFonts w:ascii="Verdana" w:hAnsi="Verdana" w:cs="Times New Roman"/>
          <w:sz w:val="20"/>
          <w:szCs w:val="20"/>
        </w:rPr>
        <w:footnoteReference w:id="106"/>
      </w:r>
      <w:r w:rsidR="00A15321" w:rsidRPr="008D6D6A">
        <w:rPr>
          <w:rFonts w:ascii="Verdana" w:hAnsi="Verdana" w:cs="Times New Roman"/>
          <w:sz w:val="20"/>
          <w:szCs w:val="20"/>
        </w:rPr>
        <w:t>.</w:t>
      </w:r>
    </w:p>
    <w:p w:rsidR="007C2048" w:rsidRPr="008D6D6A" w:rsidRDefault="00B0292A"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En correspondencia con el </w:t>
      </w:r>
      <w:r w:rsidR="00545A7C" w:rsidRPr="008D6D6A">
        <w:rPr>
          <w:rFonts w:ascii="Verdana" w:hAnsi="Verdana" w:cs="Times New Roman"/>
          <w:sz w:val="20"/>
          <w:szCs w:val="20"/>
        </w:rPr>
        <w:t>C</w:t>
      </w:r>
      <w:r w:rsidRPr="008D6D6A">
        <w:rPr>
          <w:rFonts w:ascii="Verdana" w:hAnsi="Verdana" w:cs="Times New Roman"/>
          <w:sz w:val="20"/>
          <w:szCs w:val="20"/>
        </w:rPr>
        <w:t xml:space="preserve">apítulo </w:t>
      </w:r>
      <w:r w:rsidR="00EF4B45" w:rsidRPr="008D6D6A">
        <w:rPr>
          <w:rFonts w:ascii="Verdana" w:hAnsi="Verdana" w:cs="Times New Roman"/>
          <w:sz w:val="20"/>
          <w:szCs w:val="20"/>
        </w:rPr>
        <w:t>Once</w:t>
      </w:r>
      <w:r w:rsidRPr="008D6D6A">
        <w:rPr>
          <w:rFonts w:ascii="Verdana" w:hAnsi="Verdana" w:cs="Times New Roman"/>
          <w:sz w:val="20"/>
          <w:szCs w:val="20"/>
        </w:rPr>
        <w:t xml:space="preserve"> del TLCAN, </w:t>
      </w:r>
      <w:r w:rsidR="00B8423A" w:rsidRPr="008D6D6A">
        <w:rPr>
          <w:rFonts w:ascii="Verdana" w:hAnsi="Verdana" w:cs="Times New Roman"/>
          <w:sz w:val="20"/>
          <w:szCs w:val="20"/>
        </w:rPr>
        <w:t xml:space="preserve">el Capítulo 10 del </w:t>
      </w:r>
      <w:r w:rsidR="00AB0085" w:rsidRPr="008D6D6A">
        <w:rPr>
          <w:rFonts w:ascii="Verdana" w:hAnsi="Verdana" w:cs="Times New Roman"/>
          <w:sz w:val="20"/>
          <w:szCs w:val="20"/>
        </w:rPr>
        <w:t>Tratado de Libre Comercio entre Estados Unidos, Centroamérica y República Dominicana</w:t>
      </w:r>
      <w:r w:rsidR="002A199C" w:rsidRPr="008D6D6A">
        <w:rPr>
          <w:rFonts w:ascii="Verdana" w:hAnsi="Verdana" w:cs="Times New Roman"/>
          <w:sz w:val="20"/>
          <w:szCs w:val="20"/>
        </w:rPr>
        <w:t xml:space="preserve">, específicamente el </w:t>
      </w:r>
      <w:r w:rsidR="003567B2" w:rsidRPr="008D6D6A">
        <w:rPr>
          <w:rFonts w:ascii="Verdana" w:hAnsi="Verdana" w:cs="Times New Roman"/>
          <w:sz w:val="20"/>
          <w:szCs w:val="20"/>
        </w:rPr>
        <w:t>A</w:t>
      </w:r>
      <w:r w:rsidR="002A199C" w:rsidRPr="008D6D6A">
        <w:rPr>
          <w:rFonts w:ascii="Verdana" w:hAnsi="Verdana" w:cs="Times New Roman"/>
          <w:sz w:val="20"/>
          <w:szCs w:val="20"/>
        </w:rPr>
        <w:t>rtículo 10.20.2</w:t>
      </w:r>
      <w:r w:rsidR="00B8423A" w:rsidRPr="008D6D6A">
        <w:rPr>
          <w:rStyle w:val="Refdenotaalpie"/>
          <w:rFonts w:ascii="Verdana" w:hAnsi="Verdana" w:cs="Times New Roman"/>
          <w:sz w:val="20"/>
          <w:szCs w:val="20"/>
        </w:rPr>
        <w:footnoteReference w:id="107"/>
      </w:r>
      <w:r w:rsidR="00F24A4D" w:rsidRPr="008D6D6A">
        <w:rPr>
          <w:rFonts w:ascii="Verdana" w:hAnsi="Verdana" w:cs="Times New Roman"/>
          <w:sz w:val="20"/>
          <w:szCs w:val="20"/>
        </w:rPr>
        <w:t>,</w:t>
      </w:r>
      <w:r w:rsidR="007C2048" w:rsidRPr="008D6D6A">
        <w:rPr>
          <w:rFonts w:ascii="Verdana" w:hAnsi="Verdana" w:cs="Times New Roman"/>
          <w:sz w:val="20"/>
          <w:szCs w:val="20"/>
        </w:rPr>
        <w:t xml:space="preserve"> permite </w:t>
      </w:r>
      <w:r w:rsidR="00F24A4D" w:rsidRPr="008D6D6A">
        <w:rPr>
          <w:rFonts w:ascii="Verdana" w:hAnsi="Verdana" w:cs="Times New Roman"/>
          <w:sz w:val="20"/>
          <w:szCs w:val="20"/>
        </w:rPr>
        <w:t xml:space="preserve">también </w:t>
      </w:r>
      <w:r w:rsidR="007C2048" w:rsidRPr="008D6D6A">
        <w:rPr>
          <w:rFonts w:ascii="Verdana" w:hAnsi="Verdana" w:cs="Times New Roman"/>
          <w:sz w:val="20"/>
          <w:szCs w:val="20"/>
        </w:rPr>
        <w:t>que los Estados Partes no contendientes puedan presentar al tribunal arbitral comunicaciones orales o escritas relacionadas con la interpretación del tratado, permitiendo que en caso de un arbitraje inversionista-Estado, cualquiera de los Estados Partes pueda</w:t>
      </w:r>
      <w:r w:rsidR="006726C0" w:rsidRPr="008D6D6A">
        <w:rPr>
          <w:rFonts w:ascii="Verdana" w:hAnsi="Verdana" w:cs="Times New Roman"/>
          <w:sz w:val="20"/>
          <w:szCs w:val="20"/>
        </w:rPr>
        <w:t>n</w:t>
      </w:r>
      <w:r w:rsidR="007C2048" w:rsidRPr="008D6D6A">
        <w:rPr>
          <w:rFonts w:ascii="Verdana" w:hAnsi="Verdana" w:cs="Times New Roman"/>
          <w:sz w:val="20"/>
          <w:szCs w:val="20"/>
        </w:rPr>
        <w:t xml:space="preserve"> </w:t>
      </w:r>
      <w:r w:rsidR="002A199C" w:rsidRPr="008D6D6A">
        <w:rPr>
          <w:rFonts w:ascii="Verdana" w:hAnsi="Verdana" w:cs="Times New Roman"/>
          <w:sz w:val="20"/>
          <w:szCs w:val="20"/>
        </w:rPr>
        <w:t xml:space="preserve">pronunciarse respecto a las cuestiones relacionadas con los tratados de inversión en los que </w:t>
      </w:r>
      <w:r w:rsidR="00F24A4D" w:rsidRPr="008D6D6A">
        <w:rPr>
          <w:rFonts w:ascii="Verdana" w:hAnsi="Verdana" w:cs="Times New Roman"/>
          <w:sz w:val="20"/>
          <w:szCs w:val="20"/>
        </w:rPr>
        <w:t>se basa el caso,</w:t>
      </w:r>
      <w:r w:rsidR="00251DE0" w:rsidRPr="008D6D6A">
        <w:rPr>
          <w:rFonts w:ascii="Verdana" w:hAnsi="Verdana" w:cs="Times New Roman"/>
          <w:sz w:val="20"/>
          <w:szCs w:val="20"/>
        </w:rPr>
        <w:t xml:space="preserve"> estando</w:t>
      </w:r>
      <w:r w:rsidR="00693F8C" w:rsidRPr="008D6D6A">
        <w:rPr>
          <w:rFonts w:ascii="Verdana" w:hAnsi="Verdana" w:cs="Times New Roman"/>
          <w:sz w:val="20"/>
          <w:szCs w:val="20"/>
        </w:rPr>
        <w:t xml:space="preserve"> en relación, a su vez, con el artículo 10.21</w:t>
      </w:r>
      <w:r w:rsidR="00794ADC" w:rsidRPr="008D6D6A">
        <w:rPr>
          <w:rFonts w:ascii="Verdana" w:hAnsi="Verdana" w:cs="Times New Roman"/>
          <w:sz w:val="20"/>
          <w:szCs w:val="20"/>
        </w:rPr>
        <w:t>.1</w:t>
      </w:r>
      <w:r w:rsidR="00693F8C" w:rsidRPr="008D6D6A">
        <w:rPr>
          <w:rFonts w:ascii="Verdana" w:hAnsi="Verdana" w:cs="Times New Roman"/>
          <w:sz w:val="20"/>
          <w:szCs w:val="20"/>
        </w:rPr>
        <w:t xml:space="preserve"> del propio tratado que regula la transparencia e</w:t>
      </w:r>
      <w:r w:rsidR="007F0A1F" w:rsidRPr="008D6D6A">
        <w:rPr>
          <w:rFonts w:ascii="Verdana" w:hAnsi="Verdana" w:cs="Times New Roman"/>
          <w:sz w:val="20"/>
          <w:szCs w:val="20"/>
        </w:rPr>
        <w:t>n los procedimientos arbitrales,</w:t>
      </w:r>
      <w:r w:rsidR="00693F8C" w:rsidRPr="008D6D6A">
        <w:rPr>
          <w:rFonts w:ascii="Verdana" w:hAnsi="Verdana" w:cs="Times New Roman"/>
          <w:sz w:val="20"/>
          <w:szCs w:val="20"/>
        </w:rPr>
        <w:t xml:space="preserve"> </w:t>
      </w:r>
      <w:r w:rsidR="007F0A1F" w:rsidRPr="008D6D6A">
        <w:rPr>
          <w:rFonts w:ascii="Verdana" w:hAnsi="Verdana" w:cs="Times New Roman"/>
          <w:sz w:val="20"/>
          <w:szCs w:val="20"/>
        </w:rPr>
        <w:t>e</w:t>
      </w:r>
      <w:r w:rsidR="00693F8C" w:rsidRPr="008D6D6A">
        <w:rPr>
          <w:rFonts w:ascii="Verdana" w:hAnsi="Verdana" w:cs="Times New Roman"/>
          <w:sz w:val="20"/>
          <w:szCs w:val="20"/>
        </w:rPr>
        <w:t>l cual obli</w:t>
      </w:r>
      <w:r w:rsidR="001D0BE3" w:rsidRPr="008D6D6A">
        <w:rPr>
          <w:rFonts w:ascii="Verdana" w:hAnsi="Verdana" w:cs="Times New Roman"/>
          <w:sz w:val="20"/>
          <w:szCs w:val="20"/>
        </w:rPr>
        <w:t>ga al Estado Parte contendiente</w:t>
      </w:r>
      <w:r w:rsidR="00693F8C" w:rsidRPr="008D6D6A">
        <w:rPr>
          <w:rFonts w:ascii="Verdana" w:hAnsi="Verdana" w:cs="Times New Roman"/>
          <w:sz w:val="20"/>
          <w:szCs w:val="20"/>
        </w:rPr>
        <w:t xml:space="preserve"> </w:t>
      </w:r>
      <w:r w:rsidR="001D0BE3" w:rsidRPr="008D6D6A">
        <w:rPr>
          <w:rFonts w:ascii="Verdana" w:hAnsi="Verdana" w:cs="Times New Roman"/>
          <w:sz w:val="20"/>
          <w:szCs w:val="20"/>
        </w:rPr>
        <w:t>-</w:t>
      </w:r>
      <w:r w:rsidR="00693F8C" w:rsidRPr="008D6D6A">
        <w:rPr>
          <w:rFonts w:ascii="Verdana" w:hAnsi="Verdana" w:cs="Times New Roman"/>
          <w:sz w:val="20"/>
          <w:szCs w:val="20"/>
        </w:rPr>
        <w:t>o sea</w:t>
      </w:r>
      <w:r w:rsidR="007F0A1F" w:rsidRPr="008D6D6A">
        <w:rPr>
          <w:rFonts w:ascii="Verdana" w:hAnsi="Verdana" w:cs="Times New Roman"/>
          <w:sz w:val="20"/>
          <w:szCs w:val="20"/>
        </w:rPr>
        <w:t>, al D</w:t>
      </w:r>
      <w:r w:rsidR="001D0BE3" w:rsidRPr="008D6D6A">
        <w:rPr>
          <w:rFonts w:ascii="Verdana" w:hAnsi="Verdana" w:cs="Times New Roman"/>
          <w:sz w:val="20"/>
          <w:szCs w:val="20"/>
        </w:rPr>
        <w:t>emandado-</w:t>
      </w:r>
      <w:r w:rsidR="00693F8C" w:rsidRPr="008D6D6A">
        <w:rPr>
          <w:rFonts w:ascii="Verdana" w:hAnsi="Verdana" w:cs="Times New Roman"/>
          <w:sz w:val="20"/>
          <w:szCs w:val="20"/>
        </w:rPr>
        <w:t xml:space="preserve"> a entregar al resto de Estados Partes no contendientes </w:t>
      </w:r>
      <w:r w:rsidR="006726C0" w:rsidRPr="008D6D6A">
        <w:rPr>
          <w:rFonts w:ascii="Verdana" w:hAnsi="Verdana" w:cs="Times New Roman"/>
          <w:sz w:val="20"/>
          <w:szCs w:val="20"/>
        </w:rPr>
        <w:t xml:space="preserve">los </w:t>
      </w:r>
      <w:r w:rsidR="00693F8C" w:rsidRPr="008D6D6A">
        <w:rPr>
          <w:rFonts w:ascii="Verdana" w:hAnsi="Verdana" w:cs="Times New Roman"/>
          <w:sz w:val="20"/>
          <w:szCs w:val="20"/>
        </w:rPr>
        <w:t>documen</w:t>
      </w:r>
      <w:r w:rsidR="006726C0" w:rsidRPr="008D6D6A">
        <w:rPr>
          <w:rFonts w:ascii="Verdana" w:hAnsi="Verdana" w:cs="Times New Roman"/>
          <w:sz w:val="20"/>
          <w:szCs w:val="20"/>
        </w:rPr>
        <w:t>tos</w:t>
      </w:r>
      <w:r w:rsidR="00D34630" w:rsidRPr="008D6D6A">
        <w:rPr>
          <w:rStyle w:val="Refdenotaalpie"/>
          <w:rFonts w:ascii="Verdana" w:hAnsi="Verdana" w:cs="Times New Roman"/>
          <w:sz w:val="20"/>
          <w:szCs w:val="20"/>
        </w:rPr>
        <w:footnoteReference w:id="108"/>
      </w:r>
      <w:r w:rsidR="006726C0" w:rsidRPr="008D6D6A">
        <w:rPr>
          <w:rFonts w:ascii="Verdana" w:hAnsi="Verdana" w:cs="Times New Roman"/>
          <w:sz w:val="20"/>
          <w:szCs w:val="20"/>
        </w:rPr>
        <w:t xml:space="preserve"> relacionados con el caso y </w:t>
      </w:r>
      <w:r w:rsidR="00693F8C" w:rsidRPr="008D6D6A">
        <w:rPr>
          <w:rFonts w:ascii="Verdana" w:hAnsi="Verdana" w:cs="Times New Roman"/>
          <w:sz w:val="20"/>
          <w:szCs w:val="20"/>
        </w:rPr>
        <w:t xml:space="preserve"> la publicación de los mismos</w:t>
      </w:r>
      <w:r w:rsidR="00794ADC" w:rsidRPr="008D6D6A">
        <w:rPr>
          <w:rFonts w:ascii="Verdana" w:hAnsi="Verdana" w:cs="Times New Roman"/>
          <w:sz w:val="20"/>
          <w:szCs w:val="20"/>
        </w:rPr>
        <w:t>,</w:t>
      </w:r>
      <w:r w:rsidR="007F0A1F" w:rsidRPr="008D6D6A">
        <w:rPr>
          <w:rFonts w:ascii="Verdana" w:hAnsi="Verdana" w:cs="Times New Roman"/>
          <w:sz w:val="20"/>
          <w:szCs w:val="20"/>
        </w:rPr>
        <w:t xml:space="preserve"> es decir</w:t>
      </w:r>
      <w:r w:rsidR="00693F8C" w:rsidRPr="008D6D6A">
        <w:rPr>
          <w:rFonts w:ascii="Verdana" w:hAnsi="Verdana" w:cs="Times New Roman"/>
          <w:sz w:val="20"/>
          <w:szCs w:val="20"/>
        </w:rPr>
        <w:t>, ponerlos a disposición del público</w:t>
      </w:r>
      <w:r w:rsidR="006726C0" w:rsidRPr="008D6D6A">
        <w:rPr>
          <w:rFonts w:ascii="Verdana" w:hAnsi="Verdana" w:cs="Times New Roman"/>
          <w:sz w:val="20"/>
          <w:szCs w:val="20"/>
        </w:rPr>
        <w:t xml:space="preserve">, permitiendo que el tribunal arbitral se pronuncie y pueda </w:t>
      </w:r>
      <w:r w:rsidR="001D0BE3" w:rsidRPr="008D6D6A">
        <w:rPr>
          <w:rFonts w:ascii="Verdana" w:hAnsi="Verdana" w:cs="Times New Roman"/>
          <w:sz w:val="20"/>
          <w:szCs w:val="20"/>
        </w:rPr>
        <w:t>extraer</w:t>
      </w:r>
      <w:r w:rsidR="006726C0" w:rsidRPr="008D6D6A">
        <w:rPr>
          <w:rFonts w:ascii="Verdana" w:hAnsi="Verdana" w:cs="Times New Roman"/>
          <w:sz w:val="20"/>
          <w:szCs w:val="20"/>
        </w:rPr>
        <w:t xml:space="preserve"> conclusiones al respecto</w:t>
      </w:r>
      <w:r w:rsidR="00794ADC" w:rsidRPr="008D6D6A">
        <w:rPr>
          <w:rFonts w:ascii="Verdana" w:hAnsi="Verdana" w:cs="Times New Roman"/>
          <w:sz w:val="20"/>
          <w:szCs w:val="20"/>
        </w:rPr>
        <w:t xml:space="preserve">. De esta forma, el tratado </w:t>
      </w:r>
      <w:r w:rsidR="00EB46B3" w:rsidRPr="008D6D6A">
        <w:rPr>
          <w:rFonts w:ascii="Verdana" w:hAnsi="Verdana" w:cs="Times New Roman"/>
          <w:sz w:val="20"/>
          <w:szCs w:val="20"/>
        </w:rPr>
        <w:t>permite</w:t>
      </w:r>
      <w:r w:rsidR="00794ADC" w:rsidRPr="008D6D6A">
        <w:rPr>
          <w:rFonts w:ascii="Verdana" w:hAnsi="Verdana" w:cs="Times New Roman"/>
          <w:sz w:val="20"/>
          <w:szCs w:val="20"/>
        </w:rPr>
        <w:t xml:space="preserve"> que todos los Estados Partes puedan revisar los documentos pertinentes y </w:t>
      </w:r>
      <w:r w:rsidR="00B5766C" w:rsidRPr="008D6D6A">
        <w:rPr>
          <w:rFonts w:ascii="Verdana" w:hAnsi="Verdana" w:cs="Times New Roman"/>
          <w:sz w:val="20"/>
          <w:szCs w:val="20"/>
        </w:rPr>
        <w:t>tener conocimiento de</w:t>
      </w:r>
      <w:r w:rsidR="00794ADC" w:rsidRPr="008D6D6A">
        <w:rPr>
          <w:rFonts w:ascii="Verdana" w:hAnsi="Verdana" w:cs="Times New Roman"/>
          <w:sz w:val="20"/>
          <w:szCs w:val="20"/>
        </w:rPr>
        <w:t xml:space="preserve"> las cuestiones de interpretación de </w:t>
      </w:r>
      <w:r w:rsidR="00B5766C" w:rsidRPr="008D6D6A">
        <w:rPr>
          <w:rFonts w:ascii="Verdana" w:hAnsi="Verdana" w:cs="Times New Roman"/>
          <w:sz w:val="20"/>
          <w:szCs w:val="20"/>
        </w:rPr>
        <w:t xml:space="preserve">los </w:t>
      </w:r>
      <w:r w:rsidR="00794ADC" w:rsidRPr="008D6D6A">
        <w:rPr>
          <w:rFonts w:ascii="Verdana" w:hAnsi="Verdana" w:cs="Times New Roman"/>
          <w:sz w:val="20"/>
          <w:szCs w:val="20"/>
        </w:rPr>
        <w:t xml:space="preserve">tratados </w:t>
      </w:r>
      <w:r w:rsidR="00EB46B3" w:rsidRPr="008D6D6A">
        <w:rPr>
          <w:rFonts w:ascii="Verdana" w:hAnsi="Verdana" w:cs="Times New Roman"/>
          <w:sz w:val="20"/>
          <w:szCs w:val="20"/>
        </w:rPr>
        <w:t>relacionados con el</w:t>
      </w:r>
      <w:r w:rsidR="00B5766C" w:rsidRPr="008D6D6A">
        <w:rPr>
          <w:rFonts w:ascii="Verdana" w:hAnsi="Verdana" w:cs="Times New Roman"/>
          <w:sz w:val="20"/>
          <w:szCs w:val="20"/>
        </w:rPr>
        <w:t xml:space="preserve"> caso</w:t>
      </w:r>
      <w:r w:rsidR="00794ADC" w:rsidRPr="008D6D6A">
        <w:rPr>
          <w:rFonts w:ascii="Verdana" w:hAnsi="Verdana" w:cs="Times New Roman"/>
          <w:sz w:val="20"/>
          <w:szCs w:val="20"/>
        </w:rPr>
        <w:t xml:space="preserve">. </w:t>
      </w:r>
      <w:r w:rsidR="00B5766C" w:rsidRPr="008D6D6A">
        <w:rPr>
          <w:rFonts w:ascii="Verdana" w:hAnsi="Verdana" w:cs="Times New Roman"/>
          <w:sz w:val="20"/>
          <w:szCs w:val="20"/>
        </w:rPr>
        <w:t>En este sentido, el cumplimiento de ambos artículos, no solo garantiza el conocimiento público de la informació</w:t>
      </w:r>
      <w:r w:rsidR="00D34630" w:rsidRPr="008D6D6A">
        <w:rPr>
          <w:rFonts w:ascii="Verdana" w:hAnsi="Verdana" w:cs="Times New Roman"/>
          <w:sz w:val="20"/>
          <w:szCs w:val="20"/>
        </w:rPr>
        <w:t>n o documentación relacionada con el</w:t>
      </w:r>
      <w:r w:rsidR="00EB46B3" w:rsidRPr="008D6D6A">
        <w:rPr>
          <w:rFonts w:ascii="Verdana" w:hAnsi="Verdana" w:cs="Times New Roman"/>
          <w:sz w:val="20"/>
          <w:szCs w:val="20"/>
        </w:rPr>
        <w:t xml:space="preserve"> litigio</w:t>
      </w:r>
      <w:r w:rsidR="00B5766C" w:rsidRPr="008D6D6A">
        <w:rPr>
          <w:rFonts w:ascii="Verdana" w:hAnsi="Verdana" w:cs="Times New Roman"/>
          <w:sz w:val="20"/>
          <w:szCs w:val="20"/>
        </w:rPr>
        <w:t>, sino también que los Estados</w:t>
      </w:r>
      <w:r w:rsidR="00794ADC" w:rsidRPr="008D6D6A">
        <w:rPr>
          <w:rFonts w:ascii="Verdana" w:hAnsi="Verdana" w:cs="Times New Roman"/>
          <w:sz w:val="20"/>
          <w:szCs w:val="20"/>
        </w:rPr>
        <w:t xml:space="preserve"> Partes no contendientes puedan ejercer sus derechos para realizar presentaciones orales y escritas sobre cuestiones relacionadas con la interpretación del CAFTA -DR</w:t>
      </w:r>
      <w:r w:rsidR="00432ABD" w:rsidRPr="008D6D6A">
        <w:rPr>
          <w:rStyle w:val="Refdenotaalpie"/>
          <w:rFonts w:ascii="Verdana" w:hAnsi="Verdana" w:cs="Times New Roman"/>
          <w:sz w:val="20"/>
          <w:szCs w:val="20"/>
        </w:rPr>
        <w:footnoteReference w:id="109"/>
      </w:r>
      <w:r w:rsidR="00EB46B3" w:rsidRPr="008D6D6A">
        <w:rPr>
          <w:rFonts w:ascii="Verdana" w:hAnsi="Verdana" w:cs="Times New Roman"/>
          <w:sz w:val="20"/>
          <w:szCs w:val="20"/>
        </w:rPr>
        <w:t>,</w:t>
      </w:r>
      <w:r w:rsidR="00D34630" w:rsidRPr="008D6D6A">
        <w:rPr>
          <w:rFonts w:ascii="Verdana" w:hAnsi="Verdana" w:cs="Times New Roman"/>
          <w:sz w:val="20"/>
          <w:szCs w:val="20"/>
        </w:rPr>
        <w:t xml:space="preserve"> </w:t>
      </w:r>
      <w:r w:rsidR="006A5481" w:rsidRPr="008D6D6A">
        <w:rPr>
          <w:rFonts w:ascii="Verdana" w:hAnsi="Verdana" w:cs="Times New Roman"/>
          <w:sz w:val="20"/>
          <w:szCs w:val="20"/>
        </w:rPr>
        <w:t xml:space="preserve">lo que favorece </w:t>
      </w:r>
      <w:r w:rsidR="001D0BE3" w:rsidRPr="008D6D6A">
        <w:rPr>
          <w:rFonts w:ascii="Verdana" w:hAnsi="Verdana" w:cs="Times New Roman"/>
          <w:sz w:val="20"/>
          <w:szCs w:val="20"/>
        </w:rPr>
        <w:t>el pronunciamiento</w:t>
      </w:r>
      <w:r w:rsidR="006A5481" w:rsidRPr="008D6D6A">
        <w:rPr>
          <w:rFonts w:ascii="Verdana" w:hAnsi="Verdana" w:cs="Times New Roman"/>
          <w:sz w:val="20"/>
          <w:szCs w:val="20"/>
        </w:rPr>
        <w:t xml:space="preserve"> del tribunal y que el mismo pueda elaborar mejores conclusiones en los </w:t>
      </w:r>
      <w:r w:rsidR="002F17B7" w:rsidRPr="008D6D6A">
        <w:rPr>
          <w:rFonts w:ascii="Verdana" w:hAnsi="Verdana" w:cs="Times New Roman"/>
          <w:sz w:val="20"/>
          <w:szCs w:val="20"/>
        </w:rPr>
        <w:t>litigios</w:t>
      </w:r>
      <w:r w:rsidR="006A5481" w:rsidRPr="008D6D6A">
        <w:rPr>
          <w:rFonts w:ascii="Verdana" w:hAnsi="Verdana" w:cs="Times New Roman"/>
          <w:sz w:val="20"/>
          <w:szCs w:val="20"/>
        </w:rPr>
        <w:t xml:space="preserve"> amparado bajo el propio tratado.</w:t>
      </w:r>
    </w:p>
    <w:p w:rsidR="00251FD3" w:rsidRPr="008D6D6A" w:rsidRDefault="0009294C"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lastRenderedPageBreak/>
        <w:t>Los dos tratados comentados antes</w:t>
      </w:r>
      <w:r w:rsidR="001C172E" w:rsidRPr="008D6D6A">
        <w:rPr>
          <w:rFonts w:ascii="Verdana" w:hAnsi="Verdana" w:cs="Times New Roman"/>
          <w:sz w:val="20"/>
          <w:szCs w:val="20"/>
        </w:rPr>
        <w:t xml:space="preserve"> puede</w:t>
      </w:r>
      <w:r w:rsidRPr="008D6D6A">
        <w:rPr>
          <w:rFonts w:ascii="Verdana" w:hAnsi="Verdana" w:cs="Times New Roman"/>
          <w:sz w:val="20"/>
          <w:szCs w:val="20"/>
        </w:rPr>
        <w:t>n</w:t>
      </w:r>
      <w:r w:rsidR="001C172E" w:rsidRPr="008D6D6A">
        <w:rPr>
          <w:rFonts w:ascii="Verdana" w:hAnsi="Verdana" w:cs="Times New Roman"/>
          <w:sz w:val="20"/>
          <w:szCs w:val="20"/>
        </w:rPr>
        <w:t xml:space="preserve"> </w:t>
      </w:r>
      <w:r w:rsidR="00FC443E" w:rsidRPr="008D6D6A">
        <w:rPr>
          <w:rFonts w:ascii="Verdana" w:hAnsi="Verdana" w:cs="Times New Roman"/>
          <w:sz w:val="20"/>
          <w:szCs w:val="20"/>
        </w:rPr>
        <w:t>constituir un punto de referencia</w:t>
      </w:r>
      <w:r w:rsidR="001C172E" w:rsidRPr="008D6D6A">
        <w:rPr>
          <w:rFonts w:ascii="Verdana" w:hAnsi="Verdana" w:cs="Times New Roman"/>
          <w:sz w:val="20"/>
          <w:szCs w:val="20"/>
        </w:rPr>
        <w:t xml:space="preserve"> de los Estados a nivel internacional como elemento referencial para establecer en futuros tratados a negociar la </w:t>
      </w:r>
      <w:r w:rsidR="00D34630" w:rsidRPr="008D6D6A">
        <w:rPr>
          <w:rFonts w:ascii="Verdana" w:hAnsi="Verdana" w:cs="Times New Roman"/>
          <w:sz w:val="20"/>
          <w:szCs w:val="20"/>
        </w:rPr>
        <w:t>obligación de participar, mediante la presentación de escritos o comunicaciones</w:t>
      </w:r>
      <w:r w:rsidR="001C172E" w:rsidRPr="008D6D6A">
        <w:rPr>
          <w:rFonts w:ascii="Verdana" w:hAnsi="Verdana" w:cs="Times New Roman"/>
          <w:sz w:val="20"/>
          <w:szCs w:val="20"/>
        </w:rPr>
        <w:t xml:space="preserve"> en el procedimiento arbitral</w:t>
      </w:r>
      <w:r w:rsidR="00A04FC4">
        <w:rPr>
          <w:rFonts w:ascii="Verdana" w:hAnsi="Verdana" w:cs="Times New Roman"/>
          <w:sz w:val="20"/>
          <w:szCs w:val="20"/>
        </w:rPr>
        <w:t>,</w:t>
      </w:r>
      <w:r w:rsidR="001C172E" w:rsidRPr="008D6D6A">
        <w:rPr>
          <w:rFonts w:ascii="Verdana" w:hAnsi="Verdana" w:cs="Times New Roman"/>
          <w:sz w:val="20"/>
          <w:szCs w:val="20"/>
        </w:rPr>
        <w:t xml:space="preserve"> </w:t>
      </w:r>
      <w:r w:rsidR="00105FCE" w:rsidRPr="008D6D6A">
        <w:rPr>
          <w:rFonts w:ascii="Verdana" w:hAnsi="Verdana" w:cs="Times New Roman"/>
          <w:sz w:val="20"/>
          <w:szCs w:val="20"/>
        </w:rPr>
        <w:t>como Estados Partes no</w:t>
      </w:r>
      <w:r w:rsidR="001C172E" w:rsidRPr="008D6D6A">
        <w:rPr>
          <w:rFonts w:ascii="Verdana" w:hAnsi="Verdana" w:cs="Times New Roman"/>
          <w:sz w:val="20"/>
          <w:szCs w:val="20"/>
        </w:rPr>
        <w:t xml:space="preserve"> contendientes.</w:t>
      </w:r>
      <w:r w:rsidR="00474ED6" w:rsidRPr="008D6D6A">
        <w:rPr>
          <w:rFonts w:ascii="Verdana" w:hAnsi="Verdana" w:cs="Times New Roman"/>
          <w:sz w:val="20"/>
          <w:szCs w:val="20"/>
        </w:rPr>
        <w:t xml:space="preserve"> Elementos estos que debía</w:t>
      </w:r>
      <w:r w:rsidRPr="008D6D6A">
        <w:rPr>
          <w:rFonts w:ascii="Verdana" w:hAnsi="Verdana" w:cs="Times New Roman"/>
          <w:sz w:val="20"/>
          <w:szCs w:val="20"/>
        </w:rPr>
        <w:t>n</w:t>
      </w:r>
      <w:r w:rsidR="00474ED6" w:rsidRPr="008D6D6A">
        <w:rPr>
          <w:rFonts w:ascii="Verdana" w:hAnsi="Verdana" w:cs="Times New Roman"/>
          <w:sz w:val="20"/>
          <w:szCs w:val="20"/>
        </w:rPr>
        <w:t xml:space="preserve"> haber</w:t>
      </w:r>
      <w:r w:rsidRPr="008D6D6A">
        <w:rPr>
          <w:rFonts w:ascii="Verdana" w:hAnsi="Verdana" w:cs="Times New Roman"/>
          <w:sz w:val="20"/>
          <w:szCs w:val="20"/>
        </w:rPr>
        <w:t>se</w:t>
      </w:r>
      <w:r w:rsidR="00474ED6" w:rsidRPr="008D6D6A">
        <w:rPr>
          <w:rFonts w:ascii="Verdana" w:hAnsi="Verdana" w:cs="Times New Roman"/>
          <w:sz w:val="20"/>
          <w:szCs w:val="20"/>
        </w:rPr>
        <w:t xml:space="preserve"> tenido en cuenta </w:t>
      </w:r>
      <w:r w:rsidRPr="008D6D6A">
        <w:rPr>
          <w:rFonts w:ascii="Verdana" w:hAnsi="Verdana" w:cs="Times New Roman"/>
          <w:sz w:val="20"/>
          <w:szCs w:val="20"/>
        </w:rPr>
        <w:t xml:space="preserve">en </w:t>
      </w:r>
      <w:r w:rsidR="00474ED6" w:rsidRPr="008D6D6A">
        <w:rPr>
          <w:rFonts w:ascii="Verdana" w:hAnsi="Verdana" w:cs="Times New Roman"/>
          <w:sz w:val="20"/>
          <w:szCs w:val="20"/>
        </w:rPr>
        <w:t>el Reglamento sobre</w:t>
      </w:r>
      <w:r w:rsidR="000D5DF0" w:rsidRPr="008D6D6A">
        <w:rPr>
          <w:rFonts w:ascii="Verdana" w:hAnsi="Verdana" w:cs="Times New Roman"/>
          <w:sz w:val="20"/>
          <w:szCs w:val="20"/>
        </w:rPr>
        <w:t xml:space="preserve"> la</w:t>
      </w:r>
      <w:r w:rsidR="00474ED6" w:rsidRPr="008D6D6A">
        <w:rPr>
          <w:rFonts w:ascii="Verdana" w:hAnsi="Verdana" w:cs="Times New Roman"/>
          <w:sz w:val="20"/>
          <w:szCs w:val="20"/>
        </w:rPr>
        <w:t xml:space="preserve"> Transparencia, como garante de la transparencia</w:t>
      </w:r>
      <w:r w:rsidR="00A04FC4">
        <w:rPr>
          <w:rFonts w:ascii="Verdana" w:hAnsi="Verdana" w:cs="Times New Roman"/>
          <w:sz w:val="20"/>
          <w:szCs w:val="20"/>
        </w:rPr>
        <w:t xml:space="preserve"> en el arbitraje de inversiones.</w:t>
      </w:r>
      <w:r w:rsidR="00D34630" w:rsidRPr="008D6D6A">
        <w:rPr>
          <w:rFonts w:ascii="Verdana" w:hAnsi="Verdana" w:cs="Times New Roman"/>
          <w:sz w:val="20"/>
          <w:szCs w:val="20"/>
        </w:rPr>
        <w:t xml:space="preserve"> </w:t>
      </w:r>
      <w:r w:rsidR="00A04FC4">
        <w:rPr>
          <w:rFonts w:ascii="Verdana" w:hAnsi="Verdana" w:cs="Times New Roman"/>
          <w:sz w:val="20"/>
          <w:szCs w:val="20"/>
        </w:rPr>
        <w:t>M</w:t>
      </w:r>
      <w:r w:rsidR="00474ED6" w:rsidRPr="008D6D6A">
        <w:rPr>
          <w:rFonts w:ascii="Verdana" w:hAnsi="Verdana" w:cs="Times New Roman"/>
          <w:sz w:val="20"/>
          <w:szCs w:val="20"/>
        </w:rPr>
        <w:t>áxime cuando tiene carácter universal a través de la propia C</w:t>
      </w:r>
      <w:r w:rsidR="00D34630" w:rsidRPr="008D6D6A">
        <w:rPr>
          <w:rFonts w:ascii="Verdana" w:hAnsi="Verdana" w:cs="Times New Roman"/>
          <w:sz w:val="20"/>
          <w:szCs w:val="20"/>
        </w:rPr>
        <w:t>onvención de Mauricio, de</w:t>
      </w:r>
      <w:r w:rsidR="00474ED6" w:rsidRPr="008D6D6A">
        <w:rPr>
          <w:rFonts w:ascii="Verdana" w:hAnsi="Verdana" w:cs="Times New Roman"/>
          <w:sz w:val="20"/>
          <w:szCs w:val="20"/>
        </w:rPr>
        <w:t xml:space="preserve"> obligatorio cumplimiento par</w:t>
      </w:r>
      <w:r w:rsidR="0028299C" w:rsidRPr="008D6D6A">
        <w:rPr>
          <w:rFonts w:ascii="Verdana" w:hAnsi="Verdana" w:cs="Times New Roman"/>
          <w:sz w:val="20"/>
          <w:szCs w:val="20"/>
        </w:rPr>
        <w:t>a los Estados Partes</w:t>
      </w:r>
      <w:r w:rsidR="00474ED6" w:rsidRPr="008D6D6A">
        <w:rPr>
          <w:rFonts w:ascii="Verdana" w:hAnsi="Verdana" w:cs="Times New Roman"/>
          <w:sz w:val="20"/>
          <w:szCs w:val="20"/>
        </w:rPr>
        <w:t xml:space="preserve">. </w:t>
      </w:r>
    </w:p>
    <w:p w:rsidR="00E5175F" w:rsidRPr="008D6D6A" w:rsidRDefault="00E5175F" w:rsidP="006D3AD5">
      <w:pPr>
        <w:pStyle w:val="Contenidodelatabla"/>
        <w:spacing w:line="240" w:lineRule="auto"/>
        <w:ind w:firstLine="0"/>
        <w:outlineLvl w:val="1"/>
        <w:rPr>
          <w:rFonts w:ascii="Verdana" w:hAnsi="Verdana" w:cs="Times New Roman"/>
          <w:b/>
          <w:sz w:val="20"/>
          <w:szCs w:val="20"/>
        </w:rPr>
      </w:pPr>
    </w:p>
    <w:p w:rsidR="00AF61E1" w:rsidRPr="008D6D6A" w:rsidRDefault="00E0258A" w:rsidP="006D3AD5">
      <w:pPr>
        <w:pStyle w:val="Contenidodelatabla"/>
        <w:spacing w:line="240" w:lineRule="auto"/>
        <w:ind w:firstLine="0"/>
        <w:outlineLvl w:val="1"/>
        <w:rPr>
          <w:rFonts w:ascii="Verdana" w:hAnsi="Verdana" w:cs="Times New Roman"/>
          <w:b/>
          <w:sz w:val="20"/>
          <w:szCs w:val="20"/>
        </w:rPr>
      </w:pPr>
      <w:bookmarkStart w:id="52" w:name="_Toc536741926"/>
      <w:bookmarkStart w:id="53" w:name="_Toc1224448"/>
      <w:r w:rsidRPr="008D6D6A">
        <w:rPr>
          <w:rFonts w:ascii="Verdana" w:hAnsi="Verdana" w:cs="Times New Roman"/>
          <w:b/>
          <w:sz w:val="20"/>
          <w:szCs w:val="20"/>
        </w:rPr>
        <w:t xml:space="preserve">4.6 </w:t>
      </w:r>
      <w:r w:rsidR="00AF61E1" w:rsidRPr="008D6D6A">
        <w:rPr>
          <w:rFonts w:ascii="Verdana" w:hAnsi="Verdana" w:cs="Times New Roman"/>
          <w:b/>
          <w:sz w:val="20"/>
          <w:szCs w:val="20"/>
        </w:rPr>
        <w:t>Audiencias.</w:t>
      </w:r>
      <w:bookmarkEnd w:id="52"/>
      <w:bookmarkEnd w:id="53"/>
      <w:r w:rsidR="00AF61E1" w:rsidRPr="008D6D6A">
        <w:rPr>
          <w:rFonts w:ascii="Verdana" w:hAnsi="Verdana" w:cs="Times New Roman"/>
          <w:b/>
          <w:sz w:val="20"/>
          <w:szCs w:val="20"/>
        </w:rPr>
        <w:t xml:space="preserve"> </w:t>
      </w:r>
    </w:p>
    <w:p w:rsidR="00A76B71" w:rsidRPr="008D6D6A" w:rsidRDefault="00BC2940"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La celebraci</w:t>
      </w:r>
      <w:r w:rsidR="00673FD4" w:rsidRPr="008D6D6A">
        <w:rPr>
          <w:rFonts w:ascii="Verdana" w:hAnsi="Verdana" w:cs="Times New Roman"/>
          <w:sz w:val="20"/>
          <w:szCs w:val="20"/>
        </w:rPr>
        <w:t>ón de las audiencias es uno de los temas más controvertido del Reglamento</w:t>
      </w:r>
      <w:r w:rsidR="00DF3A0A" w:rsidRPr="008D6D6A">
        <w:rPr>
          <w:rFonts w:ascii="Verdana" w:hAnsi="Verdana" w:cs="Times New Roman"/>
          <w:sz w:val="20"/>
          <w:szCs w:val="20"/>
        </w:rPr>
        <w:t xml:space="preserve"> </w:t>
      </w:r>
      <w:r w:rsidR="000660E3" w:rsidRPr="008D6D6A">
        <w:rPr>
          <w:rFonts w:ascii="Verdana" w:hAnsi="Verdana" w:cs="Times New Roman"/>
          <w:sz w:val="20"/>
          <w:szCs w:val="20"/>
        </w:rPr>
        <w:t xml:space="preserve">sobre </w:t>
      </w:r>
      <w:r w:rsidR="000D5DF0" w:rsidRPr="008D6D6A">
        <w:rPr>
          <w:rFonts w:ascii="Verdana" w:hAnsi="Verdana" w:cs="Times New Roman"/>
          <w:sz w:val="20"/>
          <w:szCs w:val="20"/>
        </w:rPr>
        <w:t xml:space="preserve">la </w:t>
      </w:r>
      <w:r w:rsidR="000660E3" w:rsidRPr="008D6D6A">
        <w:rPr>
          <w:rFonts w:ascii="Verdana" w:hAnsi="Verdana" w:cs="Times New Roman"/>
          <w:sz w:val="20"/>
          <w:szCs w:val="20"/>
        </w:rPr>
        <w:t xml:space="preserve">Transparencia </w:t>
      </w:r>
      <w:r w:rsidR="00DF3A0A" w:rsidRPr="008D6D6A">
        <w:rPr>
          <w:rFonts w:ascii="Verdana" w:hAnsi="Verdana" w:cs="Times New Roman"/>
          <w:sz w:val="20"/>
          <w:szCs w:val="20"/>
        </w:rPr>
        <w:t>en el arbit</w:t>
      </w:r>
      <w:r w:rsidR="000D5DF0" w:rsidRPr="008D6D6A">
        <w:rPr>
          <w:rFonts w:ascii="Verdana" w:hAnsi="Verdana" w:cs="Times New Roman"/>
          <w:sz w:val="20"/>
          <w:szCs w:val="20"/>
        </w:rPr>
        <w:t>raje inversionista-Estado en el marco de un tratado</w:t>
      </w:r>
      <w:r w:rsidR="001F5006" w:rsidRPr="008D6D6A">
        <w:rPr>
          <w:rFonts w:ascii="Verdana" w:hAnsi="Verdana" w:cs="Times New Roman"/>
          <w:sz w:val="20"/>
          <w:szCs w:val="20"/>
        </w:rPr>
        <w:t xml:space="preserve">, </w:t>
      </w:r>
      <w:r w:rsidR="00673FD4" w:rsidRPr="008D6D6A">
        <w:rPr>
          <w:rFonts w:ascii="Verdana" w:hAnsi="Verdana" w:cs="Times New Roman"/>
          <w:sz w:val="20"/>
          <w:szCs w:val="20"/>
        </w:rPr>
        <w:t>se distancia</w:t>
      </w:r>
      <w:r w:rsidR="001F5006" w:rsidRPr="008D6D6A">
        <w:rPr>
          <w:rFonts w:ascii="Verdana" w:hAnsi="Verdana" w:cs="Times New Roman"/>
          <w:sz w:val="20"/>
          <w:szCs w:val="20"/>
        </w:rPr>
        <w:t xml:space="preserve"> </w:t>
      </w:r>
      <w:r w:rsidR="000D5DF0" w:rsidRPr="008D6D6A">
        <w:rPr>
          <w:rFonts w:ascii="Verdana" w:hAnsi="Verdana" w:cs="Times New Roman"/>
          <w:sz w:val="20"/>
          <w:szCs w:val="20"/>
        </w:rPr>
        <w:t>del resto de otras reglas</w:t>
      </w:r>
      <w:r w:rsidR="00231E95" w:rsidRPr="008D6D6A">
        <w:rPr>
          <w:rFonts w:ascii="Verdana" w:hAnsi="Verdana" w:cs="Times New Roman"/>
          <w:sz w:val="20"/>
          <w:szCs w:val="20"/>
        </w:rPr>
        <w:t xml:space="preserve"> arbitrales</w:t>
      </w:r>
      <w:r w:rsidR="00242810" w:rsidRPr="008D6D6A">
        <w:rPr>
          <w:rStyle w:val="Refdenotaalpie"/>
          <w:rFonts w:ascii="Verdana" w:hAnsi="Verdana" w:cs="Times New Roman"/>
          <w:sz w:val="20"/>
          <w:szCs w:val="20"/>
        </w:rPr>
        <w:footnoteReference w:id="110"/>
      </w:r>
      <w:r w:rsidR="00231E95" w:rsidRPr="008D6D6A">
        <w:rPr>
          <w:rFonts w:ascii="Verdana" w:hAnsi="Verdana" w:cs="Times New Roman"/>
          <w:sz w:val="20"/>
          <w:szCs w:val="20"/>
        </w:rPr>
        <w:t xml:space="preserve">, debido a la exigencia de celebrar las audiencias </w:t>
      </w:r>
      <w:r w:rsidR="0061036B" w:rsidRPr="008D6D6A">
        <w:rPr>
          <w:rFonts w:ascii="Verdana" w:hAnsi="Verdana" w:cs="Times New Roman"/>
          <w:sz w:val="20"/>
          <w:szCs w:val="20"/>
        </w:rPr>
        <w:t>públicas</w:t>
      </w:r>
      <w:r w:rsidR="00A76B71" w:rsidRPr="008D6D6A">
        <w:rPr>
          <w:rStyle w:val="Refdenotaalpie"/>
          <w:rFonts w:ascii="Verdana" w:hAnsi="Verdana" w:cs="Times New Roman"/>
          <w:sz w:val="20"/>
          <w:szCs w:val="20"/>
        </w:rPr>
        <w:footnoteReference w:id="111"/>
      </w:r>
      <w:r w:rsidR="0088732F" w:rsidRPr="008D6D6A">
        <w:rPr>
          <w:rFonts w:ascii="Verdana" w:hAnsi="Verdana" w:cs="Times New Roman"/>
          <w:sz w:val="20"/>
          <w:szCs w:val="20"/>
        </w:rPr>
        <w:t>, siendo ésta la regla básica del Reglamento</w:t>
      </w:r>
      <w:r w:rsidR="001F5006" w:rsidRPr="008D6D6A">
        <w:rPr>
          <w:rFonts w:ascii="Verdana" w:hAnsi="Verdana" w:cs="Times New Roman"/>
          <w:sz w:val="20"/>
          <w:szCs w:val="20"/>
        </w:rPr>
        <w:t>.</w:t>
      </w:r>
      <w:r w:rsidR="003027B4" w:rsidRPr="008D6D6A">
        <w:rPr>
          <w:rFonts w:ascii="Verdana" w:hAnsi="Verdana" w:cs="Times New Roman"/>
          <w:sz w:val="20"/>
          <w:szCs w:val="20"/>
        </w:rPr>
        <w:t xml:space="preserve"> </w:t>
      </w:r>
      <w:r w:rsidR="00E01F24">
        <w:rPr>
          <w:rFonts w:ascii="Verdana" w:hAnsi="Verdana" w:cs="Times New Roman"/>
          <w:sz w:val="20"/>
          <w:szCs w:val="20"/>
        </w:rPr>
        <w:t>So</w:t>
      </w:r>
      <w:r w:rsidR="00231E95" w:rsidRPr="008D6D6A">
        <w:rPr>
          <w:rFonts w:ascii="Verdana" w:hAnsi="Verdana" w:cs="Times New Roman"/>
          <w:sz w:val="20"/>
          <w:szCs w:val="20"/>
        </w:rPr>
        <w:t>l</w:t>
      </w:r>
      <w:r w:rsidR="00EE5B14" w:rsidRPr="008D6D6A">
        <w:rPr>
          <w:rFonts w:ascii="Verdana" w:hAnsi="Verdana" w:cs="Times New Roman"/>
          <w:sz w:val="20"/>
          <w:szCs w:val="20"/>
        </w:rPr>
        <w:t>o estarán</w:t>
      </w:r>
      <w:r w:rsidR="00231E95" w:rsidRPr="008D6D6A">
        <w:rPr>
          <w:rFonts w:ascii="Verdana" w:hAnsi="Verdana" w:cs="Times New Roman"/>
          <w:sz w:val="20"/>
          <w:szCs w:val="20"/>
        </w:rPr>
        <w:t xml:space="preserve"> sujetas a las siguientes limitaciones: a) </w:t>
      </w:r>
      <w:r w:rsidR="00A76B71" w:rsidRPr="008D6D6A">
        <w:rPr>
          <w:rFonts w:ascii="Verdana" w:hAnsi="Verdana" w:cs="Times New Roman"/>
          <w:sz w:val="20"/>
          <w:szCs w:val="20"/>
        </w:rPr>
        <w:t>la información confidencial</w:t>
      </w:r>
      <w:r w:rsidR="0080190B" w:rsidRPr="008D6D6A">
        <w:rPr>
          <w:rStyle w:val="Refdenotaalpie"/>
          <w:rFonts w:ascii="Verdana" w:hAnsi="Verdana" w:cs="Times New Roman"/>
          <w:sz w:val="20"/>
          <w:szCs w:val="20"/>
        </w:rPr>
        <w:footnoteReference w:id="112"/>
      </w:r>
      <w:r w:rsidR="00A76B71" w:rsidRPr="008D6D6A">
        <w:rPr>
          <w:rFonts w:ascii="Verdana" w:hAnsi="Verdana" w:cs="Times New Roman"/>
          <w:sz w:val="20"/>
          <w:szCs w:val="20"/>
        </w:rPr>
        <w:t>; b) la protección de la integridad del proceso; y c) por r</w:t>
      </w:r>
      <w:r w:rsidR="00FA5CA4" w:rsidRPr="008D6D6A">
        <w:rPr>
          <w:rFonts w:ascii="Verdana" w:hAnsi="Verdana" w:cs="Times New Roman"/>
          <w:sz w:val="20"/>
          <w:szCs w:val="20"/>
        </w:rPr>
        <w:t>a</w:t>
      </w:r>
      <w:r w:rsidR="00A76B71" w:rsidRPr="008D6D6A">
        <w:rPr>
          <w:rFonts w:ascii="Verdana" w:hAnsi="Verdana" w:cs="Times New Roman"/>
          <w:sz w:val="20"/>
          <w:szCs w:val="20"/>
        </w:rPr>
        <w:t>zones logísticas</w:t>
      </w:r>
      <w:r w:rsidR="003D2F05" w:rsidRPr="008D6D6A">
        <w:rPr>
          <w:rFonts w:ascii="Verdana" w:hAnsi="Verdana" w:cs="Times New Roman"/>
          <w:sz w:val="20"/>
          <w:szCs w:val="20"/>
        </w:rPr>
        <w:t>, es decir que exista el aprovisionamiento material necesario que se especifica a continuación</w:t>
      </w:r>
      <w:r w:rsidR="00FA5CA4" w:rsidRPr="008D6D6A">
        <w:rPr>
          <w:rStyle w:val="Refdenotaalpie"/>
          <w:rFonts w:ascii="Verdana" w:hAnsi="Verdana" w:cs="Times New Roman"/>
          <w:sz w:val="20"/>
          <w:szCs w:val="20"/>
        </w:rPr>
        <w:footnoteReference w:id="113"/>
      </w:r>
      <w:r w:rsidR="00A76B71" w:rsidRPr="008D6D6A">
        <w:rPr>
          <w:rFonts w:ascii="Verdana" w:hAnsi="Verdana" w:cs="Times New Roman"/>
          <w:sz w:val="20"/>
          <w:szCs w:val="20"/>
        </w:rPr>
        <w:t xml:space="preserve">. </w:t>
      </w:r>
    </w:p>
    <w:p w:rsidR="00903AC6" w:rsidRPr="008D6D6A" w:rsidRDefault="00E01F24" w:rsidP="006D3AD5">
      <w:pPr>
        <w:pStyle w:val="Contenidodelatabla"/>
        <w:spacing w:line="240" w:lineRule="auto"/>
        <w:rPr>
          <w:rFonts w:ascii="Verdana" w:hAnsi="Verdana" w:cs="Times New Roman"/>
          <w:sz w:val="20"/>
          <w:szCs w:val="20"/>
        </w:rPr>
      </w:pPr>
      <w:r>
        <w:rPr>
          <w:rFonts w:ascii="Verdana" w:hAnsi="Verdana" w:cs="Times New Roman"/>
          <w:sz w:val="20"/>
          <w:szCs w:val="20"/>
        </w:rPr>
        <w:t>El Reglamento</w:t>
      </w:r>
      <w:r w:rsidR="006E2813" w:rsidRPr="008D6D6A">
        <w:rPr>
          <w:rFonts w:ascii="Verdana" w:hAnsi="Verdana" w:cs="Times New Roman"/>
          <w:sz w:val="20"/>
          <w:szCs w:val="20"/>
        </w:rPr>
        <w:t xml:space="preserve"> faculta al tri</w:t>
      </w:r>
      <w:r w:rsidR="0028299C" w:rsidRPr="008D6D6A">
        <w:rPr>
          <w:rFonts w:ascii="Verdana" w:hAnsi="Verdana" w:cs="Times New Roman"/>
          <w:sz w:val="20"/>
          <w:szCs w:val="20"/>
        </w:rPr>
        <w:t>bunal arbitral para que</w:t>
      </w:r>
      <w:r w:rsidR="006E2813" w:rsidRPr="008D6D6A">
        <w:rPr>
          <w:rFonts w:ascii="Verdana" w:hAnsi="Verdana" w:cs="Times New Roman"/>
          <w:sz w:val="20"/>
          <w:szCs w:val="20"/>
        </w:rPr>
        <w:t xml:space="preserve"> decida cómo celebrar las audiencias de forma tal que facilite la</w:t>
      </w:r>
      <w:r w:rsidR="003B3AED" w:rsidRPr="008D6D6A">
        <w:rPr>
          <w:rFonts w:ascii="Verdana" w:hAnsi="Verdana" w:cs="Times New Roman"/>
          <w:sz w:val="20"/>
          <w:szCs w:val="20"/>
        </w:rPr>
        <w:t xml:space="preserve"> posibilidad de participación del</w:t>
      </w:r>
      <w:r w:rsidR="00546B9B" w:rsidRPr="008D6D6A">
        <w:rPr>
          <w:rFonts w:ascii="Verdana" w:hAnsi="Verdana" w:cs="Times New Roman"/>
          <w:sz w:val="20"/>
          <w:szCs w:val="20"/>
        </w:rPr>
        <w:t xml:space="preserve"> público, a</w:t>
      </w:r>
      <w:r w:rsidR="00903AC6" w:rsidRPr="008D6D6A">
        <w:rPr>
          <w:rFonts w:ascii="Verdana" w:hAnsi="Verdana" w:cs="Times New Roman"/>
          <w:sz w:val="20"/>
          <w:szCs w:val="20"/>
        </w:rPr>
        <w:t>sí como</w:t>
      </w:r>
      <w:r w:rsidR="003B3AED" w:rsidRPr="008D6D6A">
        <w:rPr>
          <w:rFonts w:ascii="Verdana" w:hAnsi="Verdana" w:cs="Times New Roman"/>
          <w:sz w:val="20"/>
          <w:szCs w:val="20"/>
        </w:rPr>
        <w:t xml:space="preserve"> que el propio tribunal arbitral adopte las medidas necesarias para, de ser necesario, el público pueda pr</w:t>
      </w:r>
      <w:r w:rsidR="003027B4" w:rsidRPr="008D6D6A">
        <w:rPr>
          <w:rFonts w:ascii="Verdana" w:hAnsi="Verdana" w:cs="Times New Roman"/>
          <w:sz w:val="20"/>
          <w:szCs w:val="20"/>
        </w:rPr>
        <w:t>esenciarlas con la utilización de medios informáticos</w:t>
      </w:r>
      <w:r w:rsidR="003B3AED" w:rsidRPr="008D6D6A">
        <w:rPr>
          <w:rFonts w:ascii="Verdana" w:hAnsi="Verdana" w:cs="Times New Roman"/>
          <w:sz w:val="20"/>
          <w:szCs w:val="20"/>
        </w:rPr>
        <w:t>, ya sea a través d</w:t>
      </w:r>
      <w:r w:rsidR="00903AC6" w:rsidRPr="008D6D6A">
        <w:rPr>
          <w:rFonts w:ascii="Verdana" w:hAnsi="Verdana" w:cs="Times New Roman"/>
          <w:sz w:val="20"/>
          <w:szCs w:val="20"/>
        </w:rPr>
        <w:t>e vídeo u otros medios en línea</w:t>
      </w:r>
      <w:r w:rsidR="003B3AED" w:rsidRPr="008D6D6A">
        <w:rPr>
          <w:rFonts w:ascii="Verdana" w:hAnsi="Verdana" w:cs="Times New Roman"/>
          <w:sz w:val="20"/>
          <w:szCs w:val="20"/>
        </w:rPr>
        <w:t xml:space="preserve"> que estime pertinente</w:t>
      </w:r>
      <w:r w:rsidR="00493D30" w:rsidRPr="008D6D6A">
        <w:rPr>
          <w:rFonts w:ascii="Verdana" w:hAnsi="Verdana" w:cs="Times New Roman"/>
          <w:sz w:val="20"/>
          <w:szCs w:val="20"/>
        </w:rPr>
        <w:t xml:space="preserve">. El presente precepto </w:t>
      </w:r>
      <w:r w:rsidR="0028299C" w:rsidRPr="008D6D6A">
        <w:rPr>
          <w:rFonts w:ascii="Verdana" w:hAnsi="Verdana" w:cs="Times New Roman"/>
          <w:sz w:val="20"/>
          <w:szCs w:val="20"/>
        </w:rPr>
        <w:t>ilustra</w:t>
      </w:r>
      <w:r w:rsidR="00903AC6" w:rsidRPr="008D6D6A">
        <w:rPr>
          <w:rFonts w:ascii="Verdana" w:hAnsi="Verdana" w:cs="Times New Roman"/>
          <w:sz w:val="20"/>
          <w:szCs w:val="20"/>
        </w:rPr>
        <w:t xml:space="preserve"> una</w:t>
      </w:r>
      <w:r w:rsidR="00493D30" w:rsidRPr="008D6D6A">
        <w:rPr>
          <w:rFonts w:ascii="Verdana" w:hAnsi="Verdana" w:cs="Times New Roman"/>
          <w:sz w:val="20"/>
          <w:szCs w:val="20"/>
        </w:rPr>
        <w:t xml:space="preserve"> parte de la práctica </w:t>
      </w:r>
      <w:r w:rsidR="0028299C" w:rsidRPr="008D6D6A">
        <w:rPr>
          <w:rFonts w:ascii="Verdana" w:hAnsi="Verdana" w:cs="Times New Roman"/>
          <w:sz w:val="20"/>
          <w:szCs w:val="20"/>
        </w:rPr>
        <w:t xml:space="preserve">arbitral </w:t>
      </w:r>
      <w:r w:rsidR="00493D30" w:rsidRPr="008D6D6A">
        <w:rPr>
          <w:rFonts w:ascii="Verdana" w:hAnsi="Verdana" w:cs="Times New Roman"/>
          <w:sz w:val="20"/>
          <w:szCs w:val="20"/>
        </w:rPr>
        <w:t>llevada a cabo en algunos casos administrado</w:t>
      </w:r>
      <w:r w:rsidR="007F0220" w:rsidRPr="008D6D6A">
        <w:rPr>
          <w:rFonts w:ascii="Verdana" w:hAnsi="Verdana" w:cs="Times New Roman"/>
          <w:sz w:val="20"/>
          <w:szCs w:val="20"/>
        </w:rPr>
        <w:t>s bajos las reglas del CAFTA-</w:t>
      </w:r>
      <w:r w:rsidR="00112638" w:rsidRPr="008D6D6A">
        <w:rPr>
          <w:rFonts w:ascii="Verdana" w:hAnsi="Verdana" w:cs="Times New Roman"/>
          <w:sz w:val="20"/>
          <w:szCs w:val="20"/>
        </w:rPr>
        <w:t>DR y</w:t>
      </w:r>
      <w:r w:rsidR="007F0220" w:rsidRPr="008D6D6A">
        <w:rPr>
          <w:rFonts w:ascii="Verdana" w:hAnsi="Verdana" w:cs="Times New Roman"/>
          <w:sz w:val="20"/>
          <w:szCs w:val="20"/>
        </w:rPr>
        <w:t xml:space="preserve"> en el que parte de las</w:t>
      </w:r>
      <w:r w:rsidR="00D776A6" w:rsidRPr="008D6D6A">
        <w:rPr>
          <w:rFonts w:ascii="Verdana" w:hAnsi="Verdana" w:cs="Times New Roman"/>
          <w:sz w:val="20"/>
          <w:szCs w:val="20"/>
        </w:rPr>
        <w:t xml:space="preserve"> audiencias se han transmitido</w:t>
      </w:r>
      <w:r w:rsidR="00493D30" w:rsidRPr="008D6D6A">
        <w:rPr>
          <w:rFonts w:ascii="Verdana" w:hAnsi="Verdana" w:cs="Times New Roman"/>
          <w:sz w:val="20"/>
          <w:szCs w:val="20"/>
        </w:rPr>
        <w:t xml:space="preserve"> en directo por internet</w:t>
      </w:r>
      <w:r w:rsidR="00903AC6" w:rsidRPr="008D6D6A">
        <w:rPr>
          <w:rFonts w:ascii="Verdana" w:hAnsi="Verdana" w:cs="Times New Roman"/>
          <w:sz w:val="20"/>
          <w:szCs w:val="20"/>
        </w:rPr>
        <w:t xml:space="preserve">. </w:t>
      </w:r>
      <w:r w:rsidR="007F0220" w:rsidRPr="008D6D6A">
        <w:rPr>
          <w:rFonts w:ascii="Verdana" w:hAnsi="Verdana" w:cs="Times New Roman"/>
          <w:sz w:val="20"/>
          <w:szCs w:val="20"/>
        </w:rPr>
        <w:t xml:space="preserve">El primer caso en el que una audiencia del CIADI fue transmitida públicamente por Internet fue el </w:t>
      </w:r>
      <w:r w:rsidR="00903AC6" w:rsidRPr="008D6D6A">
        <w:rPr>
          <w:rFonts w:ascii="Verdana" w:hAnsi="Verdana" w:cs="Times New Roman"/>
          <w:sz w:val="20"/>
          <w:szCs w:val="20"/>
        </w:rPr>
        <w:t xml:space="preserve">caso </w:t>
      </w:r>
      <w:r w:rsidR="00903AC6" w:rsidRPr="008D6D6A">
        <w:rPr>
          <w:rFonts w:ascii="Verdana" w:hAnsi="Verdana" w:cs="Times New Roman"/>
          <w:i/>
          <w:sz w:val="20"/>
          <w:szCs w:val="20"/>
        </w:rPr>
        <w:t>Pac Rim Cayman LLC vs. República de El Salvador</w:t>
      </w:r>
      <w:r w:rsidR="007F0220" w:rsidRPr="008D6D6A">
        <w:rPr>
          <w:rStyle w:val="Refdenotaalpie"/>
          <w:rFonts w:ascii="Verdana" w:hAnsi="Verdana" w:cs="Times New Roman"/>
          <w:sz w:val="20"/>
          <w:szCs w:val="20"/>
        </w:rPr>
        <w:footnoteReference w:id="114"/>
      </w:r>
      <w:r w:rsidR="00903AC6" w:rsidRPr="008D6D6A">
        <w:rPr>
          <w:rFonts w:ascii="Verdana" w:hAnsi="Verdana" w:cs="Times New Roman"/>
          <w:sz w:val="20"/>
          <w:szCs w:val="20"/>
        </w:rPr>
        <w:t xml:space="preserve">, litigio en el </w:t>
      </w:r>
      <w:r w:rsidR="00112638" w:rsidRPr="008D6D6A">
        <w:rPr>
          <w:rFonts w:ascii="Verdana" w:hAnsi="Verdana" w:cs="Times New Roman"/>
          <w:sz w:val="20"/>
          <w:szCs w:val="20"/>
        </w:rPr>
        <w:t>que Pac</w:t>
      </w:r>
      <w:r w:rsidR="00903AC6" w:rsidRPr="008D6D6A">
        <w:rPr>
          <w:rFonts w:ascii="Verdana" w:hAnsi="Verdana" w:cs="Times New Roman"/>
          <w:i/>
          <w:sz w:val="20"/>
          <w:szCs w:val="20"/>
        </w:rPr>
        <w:t xml:space="preserve"> </w:t>
      </w:r>
      <w:r w:rsidR="00903AC6" w:rsidRPr="008D6D6A">
        <w:rPr>
          <w:rFonts w:ascii="Verdana" w:hAnsi="Verdana" w:cs="Times New Roman"/>
          <w:sz w:val="20"/>
          <w:szCs w:val="20"/>
        </w:rPr>
        <w:t>Rim Cayman LLC (Demandante) alegó que el Gobierno de El Salvador</w:t>
      </w:r>
      <w:r w:rsidR="00D776A6" w:rsidRPr="008D6D6A">
        <w:rPr>
          <w:rFonts w:ascii="Verdana" w:hAnsi="Verdana" w:cs="Times New Roman"/>
          <w:sz w:val="20"/>
          <w:szCs w:val="20"/>
        </w:rPr>
        <w:t xml:space="preserve"> (Demandado)</w:t>
      </w:r>
      <w:r w:rsidR="00903AC6" w:rsidRPr="008D6D6A">
        <w:rPr>
          <w:rFonts w:ascii="Verdana" w:hAnsi="Verdana" w:cs="Times New Roman"/>
          <w:sz w:val="20"/>
          <w:szCs w:val="20"/>
        </w:rPr>
        <w:t xml:space="preserve"> lo privó de un “derecho perfeccionado” a una concesión de explotación minera en el proyecto de El Dorado</w:t>
      </w:r>
      <w:r w:rsidR="00112638" w:rsidRPr="008D6D6A">
        <w:rPr>
          <w:rFonts w:ascii="Verdana" w:hAnsi="Verdana" w:cs="Times New Roman"/>
          <w:sz w:val="20"/>
          <w:szCs w:val="20"/>
        </w:rPr>
        <w:t>, así</w:t>
      </w:r>
      <w:r w:rsidR="007F0220" w:rsidRPr="008D6D6A">
        <w:rPr>
          <w:rFonts w:ascii="Verdana" w:hAnsi="Verdana" w:cs="Times New Roman"/>
          <w:sz w:val="20"/>
          <w:szCs w:val="20"/>
        </w:rPr>
        <w:t xml:space="preserve"> como otros reclamos secundarios realizados bajo el CAFTA</w:t>
      </w:r>
      <w:r w:rsidR="00D776A6" w:rsidRPr="008D6D6A">
        <w:rPr>
          <w:rFonts w:ascii="Verdana" w:hAnsi="Verdana" w:cs="Times New Roman"/>
          <w:sz w:val="20"/>
          <w:szCs w:val="20"/>
        </w:rPr>
        <w:t>-DR</w:t>
      </w:r>
      <w:r w:rsidR="00112638" w:rsidRPr="008D6D6A">
        <w:rPr>
          <w:rFonts w:ascii="Verdana" w:hAnsi="Verdana" w:cs="Times New Roman"/>
          <w:sz w:val="20"/>
          <w:szCs w:val="20"/>
        </w:rPr>
        <w:t>.</w:t>
      </w:r>
      <w:r w:rsidR="007F0220" w:rsidRPr="008D6D6A">
        <w:rPr>
          <w:rFonts w:ascii="Verdana" w:hAnsi="Verdana" w:cs="Times New Roman"/>
          <w:sz w:val="20"/>
          <w:szCs w:val="20"/>
        </w:rPr>
        <w:t xml:space="preserve"> </w:t>
      </w:r>
      <w:r w:rsidR="00112638" w:rsidRPr="008D6D6A">
        <w:rPr>
          <w:rFonts w:ascii="Verdana" w:hAnsi="Verdana" w:cs="Times New Roman"/>
          <w:sz w:val="20"/>
          <w:szCs w:val="20"/>
        </w:rPr>
        <w:t>D</w:t>
      </w:r>
      <w:r w:rsidR="007F0220" w:rsidRPr="008D6D6A">
        <w:rPr>
          <w:rFonts w:ascii="Verdana" w:hAnsi="Verdana" w:cs="Times New Roman"/>
          <w:sz w:val="20"/>
          <w:szCs w:val="20"/>
        </w:rPr>
        <w:t>urante el desarrollo del procedimiento</w:t>
      </w:r>
      <w:r w:rsidR="00D776A6" w:rsidRPr="008D6D6A">
        <w:rPr>
          <w:rFonts w:ascii="Verdana" w:hAnsi="Verdana" w:cs="Times New Roman"/>
          <w:sz w:val="20"/>
          <w:szCs w:val="20"/>
        </w:rPr>
        <w:t>,</w:t>
      </w:r>
      <w:r w:rsidR="007F0220" w:rsidRPr="008D6D6A">
        <w:rPr>
          <w:rFonts w:ascii="Verdana" w:hAnsi="Verdana" w:cs="Times New Roman"/>
          <w:sz w:val="20"/>
          <w:szCs w:val="20"/>
        </w:rPr>
        <w:t xml:space="preserve"> El Salvador presenta objeciones a la jurisdicción, competencia y admisibilidad </w:t>
      </w:r>
      <w:r w:rsidR="00C70848" w:rsidRPr="008D6D6A">
        <w:rPr>
          <w:rFonts w:ascii="Verdana" w:hAnsi="Verdana" w:cs="Times New Roman"/>
          <w:sz w:val="20"/>
          <w:szCs w:val="20"/>
        </w:rPr>
        <w:t xml:space="preserve">del tribunal arbitral </w:t>
      </w:r>
      <w:r w:rsidR="007F0220" w:rsidRPr="008D6D6A">
        <w:rPr>
          <w:rFonts w:ascii="Verdana" w:hAnsi="Verdana" w:cs="Times New Roman"/>
          <w:sz w:val="20"/>
          <w:szCs w:val="20"/>
        </w:rPr>
        <w:t xml:space="preserve">a tenor de lo </w:t>
      </w:r>
      <w:r w:rsidR="002F17B7" w:rsidRPr="008D6D6A">
        <w:rPr>
          <w:rFonts w:ascii="Verdana" w:hAnsi="Verdana" w:cs="Times New Roman"/>
          <w:sz w:val="20"/>
          <w:szCs w:val="20"/>
        </w:rPr>
        <w:t>establecido</w:t>
      </w:r>
      <w:r w:rsidR="00D776A6" w:rsidRPr="008D6D6A">
        <w:rPr>
          <w:rFonts w:ascii="Verdana" w:hAnsi="Verdana" w:cs="Times New Roman"/>
          <w:sz w:val="20"/>
          <w:szCs w:val="20"/>
        </w:rPr>
        <w:t xml:space="preserve"> en las Reglas del CIADI, objeciones </w:t>
      </w:r>
      <w:r w:rsidR="00112638" w:rsidRPr="008D6D6A">
        <w:rPr>
          <w:rFonts w:ascii="Verdana" w:hAnsi="Verdana" w:cs="Times New Roman"/>
          <w:sz w:val="20"/>
          <w:szCs w:val="20"/>
        </w:rPr>
        <w:t>en virtud de las cuales</w:t>
      </w:r>
      <w:r w:rsidR="00C70848" w:rsidRPr="008D6D6A">
        <w:rPr>
          <w:rFonts w:ascii="Verdana" w:hAnsi="Verdana" w:cs="Times New Roman"/>
          <w:sz w:val="20"/>
          <w:szCs w:val="20"/>
        </w:rPr>
        <w:t xml:space="preserve"> el Tribunal </w:t>
      </w:r>
      <w:r w:rsidR="00112638" w:rsidRPr="008D6D6A">
        <w:rPr>
          <w:rFonts w:ascii="Verdana" w:hAnsi="Verdana" w:cs="Times New Roman"/>
          <w:sz w:val="20"/>
          <w:szCs w:val="20"/>
        </w:rPr>
        <w:t>decide inadmitir la d</w:t>
      </w:r>
      <w:r w:rsidR="00D776A6" w:rsidRPr="008D6D6A">
        <w:rPr>
          <w:rFonts w:ascii="Verdana" w:hAnsi="Verdana" w:cs="Times New Roman"/>
          <w:sz w:val="20"/>
          <w:szCs w:val="20"/>
        </w:rPr>
        <w:t>emanda.</w:t>
      </w:r>
      <w:r w:rsidR="007F0220" w:rsidRPr="008D6D6A">
        <w:rPr>
          <w:rFonts w:ascii="Verdana" w:hAnsi="Verdana" w:cs="Times New Roman"/>
          <w:sz w:val="20"/>
          <w:szCs w:val="20"/>
        </w:rPr>
        <w:t xml:space="preserve"> Las audiencias sobre jurisdicción fueron transmitidas públicamente sobre la base de las disposiciones en materia de transparencia del </w:t>
      </w:r>
      <w:r w:rsidR="00D776A6" w:rsidRPr="008D6D6A">
        <w:rPr>
          <w:rFonts w:ascii="Verdana" w:hAnsi="Verdana" w:cs="Times New Roman"/>
          <w:sz w:val="20"/>
          <w:szCs w:val="20"/>
        </w:rPr>
        <w:t>CAFTA-DR, Art. 10.21</w:t>
      </w:r>
      <w:r w:rsidR="007F0220" w:rsidRPr="008D6D6A">
        <w:rPr>
          <w:rFonts w:ascii="Verdana" w:hAnsi="Verdana" w:cs="Times New Roman"/>
          <w:sz w:val="20"/>
          <w:szCs w:val="20"/>
        </w:rPr>
        <w:t>.</w:t>
      </w:r>
    </w:p>
    <w:p w:rsidR="008D6D6A" w:rsidRDefault="003B3AED"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No obstante, cuando </w:t>
      </w:r>
      <w:r w:rsidR="00112638" w:rsidRPr="008D6D6A">
        <w:rPr>
          <w:rFonts w:ascii="Verdana" w:hAnsi="Verdana" w:cs="Times New Roman"/>
          <w:sz w:val="20"/>
          <w:szCs w:val="20"/>
        </w:rPr>
        <w:t>no concurran</w:t>
      </w:r>
      <w:r w:rsidRPr="008D6D6A">
        <w:rPr>
          <w:rFonts w:ascii="Verdana" w:hAnsi="Verdana" w:cs="Times New Roman"/>
          <w:sz w:val="20"/>
          <w:szCs w:val="20"/>
        </w:rPr>
        <w:t xml:space="preserve"> las condiciones logísticas necesarias para llevar a</w:t>
      </w:r>
      <w:r w:rsidR="00D776A6" w:rsidRPr="008D6D6A">
        <w:rPr>
          <w:rFonts w:ascii="Verdana" w:hAnsi="Verdana" w:cs="Times New Roman"/>
          <w:sz w:val="20"/>
          <w:szCs w:val="20"/>
        </w:rPr>
        <w:t xml:space="preserve"> </w:t>
      </w:r>
      <w:r w:rsidRPr="008D6D6A">
        <w:rPr>
          <w:rFonts w:ascii="Verdana" w:hAnsi="Verdana" w:cs="Times New Roman"/>
          <w:sz w:val="20"/>
          <w:szCs w:val="20"/>
        </w:rPr>
        <w:t xml:space="preserve">cabo el conocimiento público de las audiencias, el tribunal arbitral está facultado, previa </w:t>
      </w:r>
      <w:r w:rsidRPr="008D6D6A">
        <w:rPr>
          <w:rFonts w:ascii="Verdana" w:hAnsi="Verdana" w:cs="Times New Roman"/>
          <w:sz w:val="20"/>
          <w:szCs w:val="20"/>
        </w:rPr>
        <w:lastRenderedPageBreak/>
        <w:t>consulta con las partes, para decidir qu</w:t>
      </w:r>
      <w:r w:rsidR="00E01F24">
        <w:rPr>
          <w:rFonts w:ascii="Verdana" w:hAnsi="Verdana" w:cs="Times New Roman"/>
          <w:sz w:val="20"/>
          <w:szCs w:val="20"/>
        </w:rPr>
        <w:t>é</w:t>
      </w:r>
      <w:r w:rsidR="00546B9B" w:rsidRPr="008D6D6A">
        <w:rPr>
          <w:rFonts w:ascii="Verdana" w:hAnsi="Verdana" w:cs="Times New Roman"/>
          <w:sz w:val="20"/>
          <w:szCs w:val="20"/>
        </w:rPr>
        <w:t xml:space="preserve"> parte de la audiencia o</w:t>
      </w:r>
      <w:r w:rsidR="003027B4" w:rsidRPr="008D6D6A">
        <w:rPr>
          <w:rFonts w:ascii="Verdana" w:hAnsi="Verdana" w:cs="Times New Roman"/>
          <w:sz w:val="20"/>
          <w:szCs w:val="20"/>
        </w:rPr>
        <w:t xml:space="preserve"> </w:t>
      </w:r>
      <w:r w:rsidRPr="008D6D6A">
        <w:rPr>
          <w:rFonts w:ascii="Verdana" w:hAnsi="Verdana" w:cs="Times New Roman"/>
          <w:sz w:val="20"/>
          <w:szCs w:val="20"/>
        </w:rPr>
        <w:t>la audiencia en general</w:t>
      </w:r>
      <w:r w:rsidR="00546B9B" w:rsidRPr="008D6D6A">
        <w:rPr>
          <w:rFonts w:ascii="Verdana" w:hAnsi="Verdana" w:cs="Times New Roman"/>
          <w:sz w:val="20"/>
          <w:szCs w:val="20"/>
        </w:rPr>
        <w:t>,</w:t>
      </w:r>
      <w:r w:rsidRPr="008D6D6A">
        <w:rPr>
          <w:rFonts w:ascii="Verdana" w:hAnsi="Verdana" w:cs="Times New Roman"/>
          <w:sz w:val="20"/>
          <w:szCs w:val="20"/>
        </w:rPr>
        <w:t xml:space="preserve"> se celebre en privado</w:t>
      </w:r>
      <w:r w:rsidR="00364933" w:rsidRPr="008D6D6A">
        <w:rPr>
          <w:rStyle w:val="Refdenotaalpie"/>
          <w:rFonts w:ascii="Verdana" w:hAnsi="Verdana" w:cs="Times New Roman"/>
          <w:sz w:val="20"/>
          <w:szCs w:val="20"/>
        </w:rPr>
        <w:footnoteReference w:id="115"/>
      </w:r>
      <w:r w:rsidRPr="008D6D6A">
        <w:rPr>
          <w:rFonts w:ascii="Verdana" w:hAnsi="Verdana" w:cs="Times New Roman"/>
          <w:sz w:val="20"/>
          <w:szCs w:val="20"/>
        </w:rPr>
        <w:t>.</w:t>
      </w:r>
      <w:r w:rsidR="00131563" w:rsidRPr="008D6D6A">
        <w:rPr>
          <w:rFonts w:ascii="Verdana" w:hAnsi="Verdana" w:cs="Times New Roman"/>
          <w:sz w:val="20"/>
          <w:szCs w:val="20"/>
        </w:rPr>
        <w:t xml:space="preserve"> Así pues, en el reiterado caso </w:t>
      </w:r>
      <w:r w:rsidR="00131563" w:rsidRPr="008D6D6A">
        <w:rPr>
          <w:rFonts w:ascii="Verdana" w:hAnsi="Verdana" w:cs="Times New Roman"/>
          <w:i/>
          <w:sz w:val="20"/>
          <w:szCs w:val="20"/>
        </w:rPr>
        <w:t>BSG Resources Limited, BSG Resources</w:t>
      </w:r>
      <w:r w:rsidR="00131563" w:rsidRPr="008D6D6A">
        <w:rPr>
          <w:rFonts w:ascii="Verdana" w:hAnsi="Verdana" w:cs="Times New Roman"/>
          <w:sz w:val="20"/>
          <w:szCs w:val="20"/>
        </w:rPr>
        <w:t xml:space="preserve"> </w:t>
      </w:r>
      <w:r w:rsidR="00131563" w:rsidRPr="008D6D6A">
        <w:rPr>
          <w:rFonts w:ascii="Verdana" w:hAnsi="Verdana" w:cs="Times New Roman"/>
          <w:i/>
          <w:sz w:val="20"/>
          <w:szCs w:val="20"/>
        </w:rPr>
        <w:t>(Guinea) Limited and BSG Resources (Guinea) SÀRL vs. Republic of Guinea</w:t>
      </w:r>
      <w:r w:rsidR="00131563" w:rsidRPr="008D6D6A">
        <w:rPr>
          <w:rFonts w:ascii="Verdana" w:hAnsi="Verdana" w:cs="Times New Roman"/>
          <w:sz w:val="20"/>
          <w:szCs w:val="20"/>
        </w:rPr>
        <w:t>, el tribunal arbitral sostiene</w:t>
      </w:r>
      <w:r w:rsidR="00E01F24">
        <w:rPr>
          <w:rFonts w:ascii="Verdana" w:hAnsi="Verdana" w:cs="Times New Roman"/>
          <w:sz w:val="20"/>
          <w:szCs w:val="20"/>
        </w:rPr>
        <w:t>:</w:t>
      </w:r>
      <w:r w:rsidR="00131563" w:rsidRPr="008D6D6A">
        <w:rPr>
          <w:rFonts w:ascii="Verdana" w:hAnsi="Verdana" w:cs="Times New Roman"/>
          <w:sz w:val="20"/>
          <w:szCs w:val="20"/>
        </w:rPr>
        <w:t xml:space="preserve"> “</w:t>
      </w:r>
      <w:r w:rsidR="00131563" w:rsidRPr="008D6D6A">
        <w:rPr>
          <w:rFonts w:ascii="Verdana" w:hAnsi="Verdana" w:cs="Times New Roman"/>
          <w:i/>
          <w:sz w:val="20"/>
          <w:szCs w:val="20"/>
        </w:rPr>
        <w:t xml:space="preserve">una Parte puede solicitar que una parte de la audiencia sea privada y confidencial, que la transmisión de la audiencia se suspenda temporalmente o que la información protegida sea </w:t>
      </w:r>
      <w:r w:rsidR="00C21390" w:rsidRPr="008D6D6A">
        <w:rPr>
          <w:rFonts w:ascii="Verdana" w:hAnsi="Verdana" w:cs="Times New Roman"/>
          <w:i/>
          <w:sz w:val="20"/>
          <w:szCs w:val="20"/>
        </w:rPr>
        <w:t>excluida de la transmisión de ví</w:t>
      </w:r>
      <w:r w:rsidR="00131563" w:rsidRPr="008D6D6A">
        <w:rPr>
          <w:rFonts w:ascii="Verdana" w:hAnsi="Verdana" w:cs="Times New Roman"/>
          <w:i/>
          <w:sz w:val="20"/>
          <w:szCs w:val="20"/>
        </w:rPr>
        <w:t>deo. En la medida de lo posible, una Parte informará al Tribunal antes de plantear temas en los que se pueda esperar que surja información confidencial o protegida. El Tribunal consultará entonces a las Partes. Dichas consultas se realizarán a puerta cerrada y la transcripción se marcará como "confidencial". Después de consultar con las Partes, el Tribunal decidirá si se excluye la información en cuestión de la transmisión y la parte correspondiente de la transcripción se marcará como confidencial</w:t>
      </w:r>
      <w:r w:rsidR="00131563" w:rsidRPr="008D6D6A">
        <w:rPr>
          <w:rFonts w:ascii="Verdana" w:hAnsi="Verdana" w:cs="Times New Roman"/>
          <w:sz w:val="20"/>
          <w:szCs w:val="20"/>
        </w:rPr>
        <w:t>”</w:t>
      </w:r>
      <w:r w:rsidR="00131563" w:rsidRPr="008D6D6A">
        <w:rPr>
          <w:rStyle w:val="Refdenotaalpie"/>
          <w:rFonts w:ascii="Verdana" w:hAnsi="Verdana" w:cs="Times New Roman"/>
          <w:sz w:val="20"/>
          <w:szCs w:val="20"/>
        </w:rPr>
        <w:footnoteReference w:id="116"/>
      </w:r>
      <w:r w:rsidR="00A04F42" w:rsidRPr="008D6D6A">
        <w:rPr>
          <w:rFonts w:ascii="Verdana" w:hAnsi="Verdana" w:cs="Times New Roman"/>
          <w:sz w:val="20"/>
          <w:szCs w:val="20"/>
        </w:rPr>
        <w:t>.</w:t>
      </w:r>
    </w:p>
    <w:p w:rsidR="002D305E" w:rsidRDefault="0079724F"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El literal del precepto</w:t>
      </w:r>
      <w:r w:rsidR="00C72FA8" w:rsidRPr="008D6D6A">
        <w:rPr>
          <w:rFonts w:ascii="Verdana" w:hAnsi="Verdana" w:cs="Times New Roman"/>
          <w:sz w:val="20"/>
          <w:szCs w:val="20"/>
        </w:rPr>
        <w:t xml:space="preserve"> </w:t>
      </w:r>
      <w:r w:rsidR="000D5286" w:rsidRPr="008D6D6A">
        <w:rPr>
          <w:rFonts w:ascii="Verdana" w:hAnsi="Verdana" w:cs="Times New Roman"/>
          <w:sz w:val="20"/>
          <w:szCs w:val="20"/>
        </w:rPr>
        <w:t xml:space="preserve">6.3 del Reglamento sobre </w:t>
      </w:r>
      <w:r w:rsidRPr="008D6D6A">
        <w:rPr>
          <w:rFonts w:ascii="Verdana" w:hAnsi="Verdana" w:cs="Times New Roman"/>
          <w:sz w:val="20"/>
          <w:szCs w:val="20"/>
        </w:rPr>
        <w:t xml:space="preserve">la </w:t>
      </w:r>
      <w:r w:rsidR="000D5286" w:rsidRPr="008D6D6A">
        <w:rPr>
          <w:rFonts w:ascii="Verdana" w:hAnsi="Verdana" w:cs="Times New Roman"/>
          <w:sz w:val="20"/>
          <w:szCs w:val="20"/>
        </w:rPr>
        <w:t>Transparencia</w:t>
      </w:r>
      <w:r w:rsidRPr="008D6D6A">
        <w:rPr>
          <w:rFonts w:ascii="Verdana" w:hAnsi="Verdana" w:cs="Times New Roman"/>
          <w:sz w:val="20"/>
          <w:szCs w:val="20"/>
        </w:rPr>
        <w:t xml:space="preserve">, establece que </w:t>
      </w:r>
      <w:r w:rsidR="000D5286" w:rsidRPr="008D6D6A">
        <w:rPr>
          <w:rFonts w:ascii="Verdana" w:hAnsi="Verdana" w:cs="Times New Roman"/>
          <w:sz w:val="20"/>
          <w:szCs w:val="20"/>
        </w:rPr>
        <w:t>el tribunal antes de tomar la decisi</w:t>
      </w:r>
      <w:r w:rsidR="00C72FA8" w:rsidRPr="008D6D6A">
        <w:rPr>
          <w:rFonts w:ascii="Verdana" w:hAnsi="Verdana" w:cs="Times New Roman"/>
          <w:sz w:val="20"/>
          <w:szCs w:val="20"/>
        </w:rPr>
        <w:t>ón de admitir o no el acceso público a la audiencia en general o</w:t>
      </w:r>
      <w:r w:rsidR="003027B4" w:rsidRPr="008D6D6A">
        <w:rPr>
          <w:rFonts w:ascii="Verdana" w:hAnsi="Verdana" w:cs="Times New Roman"/>
          <w:sz w:val="20"/>
          <w:szCs w:val="20"/>
        </w:rPr>
        <w:t>,</w:t>
      </w:r>
      <w:r w:rsidR="00C72FA8" w:rsidRPr="008D6D6A">
        <w:rPr>
          <w:rFonts w:ascii="Verdana" w:hAnsi="Verdana" w:cs="Times New Roman"/>
          <w:sz w:val="20"/>
          <w:szCs w:val="20"/>
        </w:rPr>
        <w:t xml:space="preserve"> </w:t>
      </w:r>
      <w:r w:rsidR="00A5652D" w:rsidRPr="008D6D6A">
        <w:rPr>
          <w:rFonts w:ascii="Verdana" w:hAnsi="Verdana" w:cs="Times New Roman"/>
          <w:sz w:val="20"/>
          <w:szCs w:val="20"/>
        </w:rPr>
        <w:t xml:space="preserve">a </w:t>
      </w:r>
      <w:r w:rsidR="00C72FA8" w:rsidRPr="008D6D6A">
        <w:rPr>
          <w:rFonts w:ascii="Verdana" w:hAnsi="Verdana" w:cs="Times New Roman"/>
          <w:sz w:val="20"/>
          <w:szCs w:val="20"/>
        </w:rPr>
        <w:t xml:space="preserve">parte de ella, debe </w:t>
      </w:r>
      <w:r w:rsidR="003027B4" w:rsidRPr="008D6D6A">
        <w:rPr>
          <w:rFonts w:ascii="Verdana" w:hAnsi="Verdana" w:cs="Times New Roman"/>
          <w:sz w:val="20"/>
          <w:szCs w:val="20"/>
        </w:rPr>
        <w:t>adoptar las medidas necesarias que facilit</w:t>
      </w:r>
      <w:r w:rsidR="00136F66" w:rsidRPr="008D6D6A">
        <w:rPr>
          <w:rFonts w:ascii="Verdana" w:hAnsi="Verdana" w:cs="Times New Roman"/>
          <w:sz w:val="20"/>
          <w:szCs w:val="20"/>
        </w:rPr>
        <w:t>en el acceso público</w:t>
      </w:r>
      <w:r w:rsidR="003027B4" w:rsidRPr="008D6D6A">
        <w:rPr>
          <w:rFonts w:ascii="Verdana" w:hAnsi="Verdana" w:cs="Times New Roman"/>
          <w:sz w:val="20"/>
          <w:szCs w:val="20"/>
        </w:rPr>
        <w:t xml:space="preserve"> desde mucho </w:t>
      </w:r>
      <w:r w:rsidR="003D35AF" w:rsidRPr="008D6D6A">
        <w:rPr>
          <w:rFonts w:ascii="Verdana" w:hAnsi="Verdana" w:cs="Times New Roman"/>
          <w:sz w:val="20"/>
          <w:szCs w:val="20"/>
        </w:rPr>
        <w:t>antes</w:t>
      </w:r>
      <w:r w:rsidR="003027B4" w:rsidRPr="008D6D6A">
        <w:rPr>
          <w:rFonts w:ascii="Verdana" w:hAnsi="Verdana" w:cs="Times New Roman"/>
          <w:sz w:val="20"/>
          <w:szCs w:val="20"/>
        </w:rPr>
        <w:t xml:space="preserve"> de</w:t>
      </w:r>
      <w:r w:rsidRPr="008D6D6A">
        <w:rPr>
          <w:rFonts w:ascii="Verdana" w:hAnsi="Verdana" w:cs="Times New Roman"/>
          <w:sz w:val="20"/>
          <w:szCs w:val="20"/>
        </w:rPr>
        <w:t xml:space="preserve"> la celebración de la audiencia</w:t>
      </w:r>
      <w:r w:rsidR="0038780F" w:rsidRPr="008D6D6A">
        <w:rPr>
          <w:rStyle w:val="Refdenotaalpie"/>
          <w:rFonts w:ascii="Verdana" w:hAnsi="Verdana" w:cs="Times New Roman"/>
          <w:sz w:val="20"/>
          <w:szCs w:val="20"/>
        </w:rPr>
        <w:footnoteReference w:id="117"/>
      </w:r>
      <w:r w:rsidRPr="008D6D6A">
        <w:rPr>
          <w:rFonts w:ascii="Verdana" w:hAnsi="Verdana" w:cs="Times New Roman"/>
          <w:sz w:val="20"/>
          <w:szCs w:val="20"/>
        </w:rPr>
        <w:t xml:space="preserve">, cuestión </w:t>
      </w:r>
      <w:r w:rsidR="00136F66" w:rsidRPr="008D6D6A">
        <w:rPr>
          <w:rFonts w:ascii="Verdana" w:hAnsi="Verdana" w:cs="Times New Roman"/>
          <w:sz w:val="20"/>
          <w:szCs w:val="20"/>
        </w:rPr>
        <w:t xml:space="preserve">que consideramos muy positivo. </w:t>
      </w:r>
      <w:r w:rsidR="00E01F24">
        <w:rPr>
          <w:rFonts w:ascii="Verdana" w:hAnsi="Verdana" w:cs="Times New Roman"/>
          <w:sz w:val="20"/>
          <w:szCs w:val="20"/>
        </w:rPr>
        <w:t>De esta manera</w:t>
      </w:r>
      <w:r w:rsidR="00FC67A8" w:rsidRPr="008D6D6A">
        <w:rPr>
          <w:rFonts w:ascii="Verdana" w:hAnsi="Verdana" w:cs="Times New Roman"/>
          <w:sz w:val="20"/>
          <w:szCs w:val="20"/>
        </w:rPr>
        <w:t xml:space="preserve"> </w:t>
      </w:r>
      <w:r w:rsidR="00112638" w:rsidRPr="008D6D6A">
        <w:rPr>
          <w:rFonts w:ascii="Verdana" w:hAnsi="Verdana" w:cs="Times New Roman"/>
          <w:sz w:val="20"/>
          <w:szCs w:val="20"/>
        </w:rPr>
        <w:t>se limita</w:t>
      </w:r>
      <w:r w:rsidR="00AC1BA5" w:rsidRPr="008D6D6A">
        <w:rPr>
          <w:rFonts w:ascii="Verdana" w:hAnsi="Verdana" w:cs="Times New Roman"/>
          <w:sz w:val="20"/>
          <w:szCs w:val="20"/>
        </w:rPr>
        <w:t xml:space="preserve"> la facultad de actuar d</w:t>
      </w:r>
      <w:r w:rsidR="0038780F" w:rsidRPr="008D6D6A">
        <w:rPr>
          <w:rFonts w:ascii="Verdana" w:hAnsi="Verdana" w:cs="Times New Roman"/>
          <w:sz w:val="20"/>
          <w:szCs w:val="20"/>
        </w:rPr>
        <w:t>el tribunal arbitral</w:t>
      </w:r>
      <w:r w:rsidR="00131563" w:rsidRPr="008D6D6A">
        <w:rPr>
          <w:rFonts w:ascii="Verdana" w:hAnsi="Verdana" w:cs="Times New Roman"/>
          <w:sz w:val="20"/>
          <w:szCs w:val="20"/>
        </w:rPr>
        <w:t>,</w:t>
      </w:r>
      <w:r w:rsidR="00360C7C" w:rsidRPr="008D6D6A">
        <w:rPr>
          <w:rFonts w:ascii="Verdana" w:hAnsi="Verdana" w:cs="Times New Roman"/>
          <w:sz w:val="20"/>
          <w:szCs w:val="20"/>
        </w:rPr>
        <w:t xml:space="preserve"> </w:t>
      </w:r>
      <w:r w:rsidR="00131563" w:rsidRPr="008D6D6A">
        <w:rPr>
          <w:rFonts w:ascii="Verdana" w:hAnsi="Verdana" w:cs="Times New Roman"/>
          <w:sz w:val="20"/>
          <w:szCs w:val="20"/>
        </w:rPr>
        <w:t>l</w:t>
      </w:r>
      <w:r w:rsidR="00360C7C" w:rsidRPr="008D6D6A">
        <w:rPr>
          <w:rFonts w:ascii="Verdana" w:hAnsi="Verdana" w:cs="Times New Roman"/>
          <w:sz w:val="20"/>
          <w:szCs w:val="20"/>
        </w:rPr>
        <w:t>o que facilita</w:t>
      </w:r>
      <w:r w:rsidR="00A5652D" w:rsidRPr="008D6D6A">
        <w:rPr>
          <w:rFonts w:ascii="Verdana" w:hAnsi="Verdana" w:cs="Times New Roman"/>
          <w:sz w:val="20"/>
          <w:szCs w:val="20"/>
        </w:rPr>
        <w:t xml:space="preserve"> que el mismo</w:t>
      </w:r>
      <w:r w:rsidR="00360C7C" w:rsidRPr="008D6D6A">
        <w:rPr>
          <w:rFonts w:ascii="Verdana" w:hAnsi="Verdana" w:cs="Times New Roman"/>
          <w:sz w:val="20"/>
          <w:szCs w:val="20"/>
        </w:rPr>
        <w:t>, por simples motivos</w:t>
      </w:r>
      <w:r w:rsidR="0038780F" w:rsidRPr="008D6D6A">
        <w:rPr>
          <w:rFonts w:ascii="Verdana" w:hAnsi="Verdana" w:cs="Times New Roman"/>
          <w:sz w:val="20"/>
          <w:szCs w:val="20"/>
        </w:rPr>
        <w:t xml:space="preserve"> no bien justificados, pueda impedir el acceso público a la audiencia.</w:t>
      </w:r>
      <w:r w:rsidR="00454E03" w:rsidRPr="008D6D6A">
        <w:rPr>
          <w:rFonts w:ascii="Verdana" w:hAnsi="Verdana" w:cs="Times New Roman"/>
          <w:sz w:val="20"/>
          <w:szCs w:val="20"/>
        </w:rPr>
        <w:t xml:space="preserve"> Ahora bien, resulta significativo resaltar que en caso de que no se lleve a cabo el acceso público </w:t>
      </w:r>
      <w:r w:rsidR="00321908" w:rsidRPr="008D6D6A">
        <w:rPr>
          <w:rFonts w:ascii="Verdana" w:hAnsi="Verdana" w:cs="Times New Roman"/>
          <w:sz w:val="20"/>
          <w:szCs w:val="20"/>
        </w:rPr>
        <w:t>a las audiencias</w:t>
      </w:r>
      <w:r w:rsidR="007D4095" w:rsidRPr="008D6D6A">
        <w:rPr>
          <w:rFonts w:ascii="Verdana" w:hAnsi="Verdana" w:cs="Times New Roman"/>
          <w:sz w:val="20"/>
          <w:szCs w:val="20"/>
        </w:rPr>
        <w:t xml:space="preserve"> por cualquiera</w:t>
      </w:r>
      <w:r w:rsidR="00493EF4" w:rsidRPr="008D6D6A">
        <w:rPr>
          <w:rFonts w:ascii="Verdana" w:hAnsi="Verdana" w:cs="Times New Roman"/>
          <w:sz w:val="20"/>
          <w:szCs w:val="20"/>
        </w:rPr>
        <w:t xml:space="preserve"> de las razones antes expuestas,</w:t>
      </w:r>
      <w:r w:rsidR="007D4095" w:rsidRPr="008D6D6A">
        <w:rPr>
          <w:rFonts w:ascii="Verdana" w:hAnsi="Verdana" w:cs="Times New Roman"/>
          <w:sz w:val="20"/>
          <w:szCs w:val="20"/>
        </w:rPr>
        <w:t xml:space="preserve"> </w:t>
      </w:r>
      <w:r w:rsidR="00493EF4" w:rsidRPr="008D6D6A">
        <w:rPr>
          <w:rFonts w:ascii="Verdana" w:hAnsi="Verdana" w:cs="Times New Roman"/>
          <w:sz w:val="20"/>
          <w:szCs w:val="20"/>
        </w:rPr>
        <w:t>e</w:t>
      </w:r>
      <w:r w:rsidR="007D4095" w:rsidRPr="008D6D6A">
        <w:rPr>
          <w:rFonts w:ascii="Verdana" w:hAnsi="Verdana" w:cs="Times New Roman"/>
          <w:sz w:val="20"/>
          <w:szCs w:val="20"/>
        </w:rPr>
        <w:t xml:space="preserve">so no impedirá que </w:t>
      </w:r>
      <w:r w:rsidR="00112638" w:rsidRPr="008D6D6A">
        <w:rPr>
          <w:rFonts w:ascii="Verdana" w:hAnsi="Verdana" w:cs="Times New Roman"/>
          <w:sz w:val="20"/>
          <w:szCs w:val="20"/>
        </w:rPr>
        <w:t>los terceros pudiesen</w:t>
      </w:r>
      <w:r w:rsidR="007D4095" w:rsidRPr="008D6D6A">
        <w:rPr>
          <w:rFonts w:ascii="Verdana" w:hAnsi="Verdana" w:cs="Times New Roman"/>
          <w:sz w:val="20"/>
          <w:szCs w:val="20"/>
        </w:rPr>
        <w:t xml:space="preserve"> tener conocimiento de las transcripciones de las mismas. Las transcripciones se rigen por una regla diferente, establecida en el artículo 3.1 del Reglamento sobre</w:t>
      </w:r>
      <w:r w:rsidR="00360C7C" w:rsidRPr="008D6D6A">
        <w:rPr>
          <w:rFonts w:ascii="Verdana" w:hAnsi="Verdana" w:cs="Times New Roman"/>
          <w:sz w:val="20"/>
          <w:szCs w:val="20"/>
        </w:rPr>
        <w:t xml:space="preserve"> la</w:t>
      </w:r>
      <w:r w:rsidR="007D4095" w:rsidRPr="008D6D6A">
        <w:rPr>
          <w:rFonts w:ascii="Verdana" w:hAnsi="Verdana" w:cs="Times New Roman"/>
          <w:sz w:val="20"/>
          <w:szCs w:val="20"/>
        </w:rPr>
        <w:t xml:space="preserve"> Transparencia. Por lo que los aspectos que no estén dentro de la confidencialidad establecida en el artículo 7 del Reglamento, podrán ser revelados públicamente.</w:t>
      </w:r>
    </w:p>
    <w:p w:rsidR="008D6D6A" w:rsidRPr="008D6D6A" w:rsidRDefault="008D6D6A" w:rsidP="008D6D6A">
      <w:pPr>
        <w:pStyle w:val="Contenidodelatabla"/>
        <w:rPr>
          <w:rFonts w:ascii="Verdana" w:hAnsi="Verdana" w:cs="Times New Roman"/>
          <w:sz w:val="20"/>
          <w:szCs w:val="20"/>
        </w:rPr>
      </w:pPr>
    </w:p>
    <w:p w:rsidR="00251FD3" w:rsidRPr="008D6D6A" w:rsidRDefault="00E0258A" w:rsidP="006D3AD5">
      <w:pPr>
        <w:pStyle w:val="Contenidodelatabla"/>
        <w:spacing w:line="240" w:lineRule="auto"/>
        <w:ind w:firstLine="0"/>
        <w:outlineLvl w:val="1"/>
        <w:rPr>
          <w:rFonts w:ascii="Verdana" w:hAnsi="Verdana" w:cs="Times New Roman"/>
          <w:b/>
          <w:sz w:val="20"/>
          <w:szCs w:val="20"/>
        </w:rPr>
      </w:pPr>
      <w:bookmarkStart w:id="55" w:name="_Toc536741927"/>
      <w:bookmarkStart w:id="56" w:name="_Toc1224449"/>
      <w:r w:rsidRPr="008D6D6A">
        <w:rPr>
          <w:rFonts w:ascii="Verdana" w:hAnsi="Verdana" w:cs="Times New Roman"/>
          <w:b/>
          <w:sz w:val="20"/>
          <w:szCs w:val="20"/>
        </w:rPr>
        <w:t>4.7</w:t>
      </w:r>
      <w:r w:rsidR="00E01F24">
        <w:rPr>
          <w:rFonts w:ascii="Verdana" w:hAnsi="Verdana" w:cs="Times New Roman"/>
          <w:b/>
          <w:sz w:val="20"/>
          <w:szCs w:val="20"/>
        </w:rPr>
        <w:t xml:space="preserve"> Excepciones a la norma de</w:t>
      </w:r>
      <w:r w:rsidR="00571912" w:rsidRPr="008D6D6A">
        <w:rPr>
          <w:rFonts w:ascii="Verdana" w:hAnsi="Verdana" w:cs="Times New Roman"/>
          <w:b/>
          <w:sz w:val="20"/>
          <w:szCs w:val="20"/>
        </w:rPr>
        <w:t xml:space="preserve"> transparencia.</w:t>
      </w:r>
      <w:bookmarkEnd w:id="55"/>
      <w:bookmarkEnd w:id="56"/>
    </w:p>
    <w:p w:rsidR="00571912" w:rsidRPr="008D6D6A" w:rsidRDefault="00E0258A" w:rsidP="006D3AD5">
      <w:pPr>
        <w:pStyle w:val="Contenidodelatabla"/>
        <w:spacing w:line="240" w:lineRule="auto"/>
        <w:ind w:firstLine="0"/>
        <w:outlineLvl w:val="2"/>
        <w:rPr>
          <w:rFonts w:ascii="Verdana" w:hAnsi="Verdana" w:cs="Times New Roman"/>
          <w:sz w:val="20"/>
          <w:szCs w:val="20"/>
        </w:rPr>
      </w:pPr>
      <w:bookmarkStart w:id="57" w:name="_Toc536741928"/>
      <w:bookmarkStart w:id="58" w:name="_Toc1224450"/>
      <w:r w:rsidRPr="008D6D6A">
        <w:rPr>
          <w:rFonts w:ascii="Verdana" w:hAnsi="Verdana" w:cs="Times New Roman"/>
          <w:b/>
          <w:sz w:val="20"/>
          <w:szCs w:val="20"/>
        </w:rPr>
        <w:t>4.7.1</w:t>
      </w:r>
      <w:r w:rsidR="00571912" w:rsidRPr="008D6D6A">
        <w:rPr>
          <w:rFonts w:ascii="Verdana" w:hAnsi="Verdana" w:cs="Times New Roman"/>
          <w:b/>
          <w:sz w:val="20"/>
          <w:szCs w:val="20"/>
        </w:rPr>
        <w:t xml:space="preserve"> Información confidencial o protegida</w:t>
      </w:r>
      <w:r w:rsidR="008E6B5C" w:rsidRPr="008D6D6A">
        <w:rPr>
          <w:rFonts w:ascii="Verdana" w:hAnsi="Verdana" w:cs="Times New Roman"/>
          <w:b/>
          <w:sz w:val="20"/>
          <w:szCs w:val="20"/>
        </w:rPr>
        <w:t>.</w:t>
      </w:r>
      <w:bookmarkEnd w:id="57"/>
      <w:bookmarkEnd w:id="58"/>
    </w:p>
    <w:p w:rsidR="0094548E" w:rsidRPr="008D6D6A" w:rsidRDefault="0075639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La transparencia bajo el Reglamento es limitada. Las excepciones o limitaciones a la misma están previstas en el artículo 7</w:t>
      </w:r>
      <w:r w:rsidRPr="008D6D6A">
        <w:rPr>
          <w:rStyle w:val="Refdenotaalpie"/>
          <w:rFonts w:ascii="Verdana" w:hAnsi="Verdana" w:cs="Times New Roman"/>
          <w:sz w:val="20"/>
          <w:szCs w:val="20"/>
        </w:rPr>
        <w:footnoteReference w:id="118"/>
      </w:r>
      <w:r w:rsidR="009D0E5F" w:rsidRPr="008D6D6A">
        <w:rPr>
          <w:rFonts w:ascii="Verdana" w:hAnsi="Verdana" w:cs="Times New Roman"/>
          <w:sz w:val="20"/>
          <w:szCs w:val="20"/>
        </w:rPr>
        <w:t xml:space="preserve">. </w:t>
      </w:r>
      <w:r w:rsidR="00B85242" w:rsidRPr="008D6D6A">
        <w:rPr>
          <w:rFonts w:ascii="Verdana" w:hAnsi="Verdana" w:cs="Times New Roman"/>
          <w:sz w:val="20"/>
          <w:szCs w:val="20"/>
        </w:rPr>
        <w:t>Este precepto</w:t>
      </w:r>
      <w:r w:rsidR="009D0E5F" w:rsidRPr="008D6D6A">
        <w:rPr>
          <w:rFonts w:ascii="Verdana" w:hAnsi="Verdana" w:cs="Times New Roman"/>
          <w:sz w:val="20"/>
          <w:szCs w:val="20"/>
        </w:rPr>
        <w:t xml:space="preserve"> favorece e</w:t>
      </w:r>
      <w:r w:rsidRPr="008D6D6A">
        <w:rPr>
          <w:rFonts w:ascii="Verdana" w:hAnsi="Verdana" w:cs="Times New Roman"/>
          <w:sz w:val="20"/>
          <w:szCs w:val="20"/>
        </w:rPr>
        <w:t xml:space="preserve">l equilibrio entre las </w:t>
      </w:r>
      <w:r w:rsidRPr="008D6D6A">
        <w:rPr>
          <w:rFonts w:ascii="Verdana" w:hAnsi="Verdana" w:cs="Times New Roman"/>
          <w:sz w:val="20"/>
          <w:szCs w:val="20"/>
        </w:rPr>
        <w:lastRenderedPageBreak/>
        <w:t xml:space="preserve">disposiciones sobre divulgación previstas en el </w:t>
      </w:r>
      <w:r w:rsidR="0094548E" w:rsidRPr="008D6D6A">
        <w:rPr>
          <w:rFonts w:ascii="Verdana" w:hAnsi="Verdana" w:cs="Times New Roman"/>
          <w:sz w:val="20"/>
          <w:szCs w:val="20"/>
        </w:rPr>
        <w:t xml:space="preserve">propio </w:t>
      </w:r>
      <w:r w:rsidRPr="008D6D6A">
        <w:rPr>
          <w:rFonts w:ascii="Verdana" w:hAnsi="Verdana" w:cs="Times New Roman"/>
          <w:sz w:val="20"/>
          <w:szCs w:val="20"/>
        </w:rPr>
        <w:t>Reglamento y las excepciones de confidencialidad o información protegida</w:t>
      </w:r>
      <w:r w:rsidR="00B74F8F" w:rsidRPr="008D6D6A">
        <w:rPr>
          <w:rStyle w:val="Refdenotaalpie"/>
          <w:rFonts w:ascii="Verdana" w:hAnsi="Verdana" w:cs="Times New Roman"/>
          <w:sz w:val="20"/>
          <w:szCs w:val="20"/>
        </w:rPr>
        <w:footnoteReference w:id="119"/>
      </w:r>
      <w:r w:rsidRPr="008D6D6A">
        <w:rPr>
          <w:rFonts w:ascii="Verdana" w:hAnsi="Verdana" w:cs="Times New Roman"/>
          <w:sz w:val="20"/>
          <w:szCs w:val="20"/>
        </w:rPr>
        <w:t>.</w:t>
      </w:r>
      <w:r w:rsidR="00867A02" w:rsidRPr="008D6D6A">
        <w:rPr>
          <w:rFonts w:ascii="Verdana" w:hAnsi="Verdana" w:cs="Times New Roman"/>
          <w:sz w:val="20"/>
          <w:szCs w:val="20"/>
        </w:rPr>
        <w:t xml:space="preserve"> </w:t>
      </w:r>
      <w:r w:rsidR="00332AEA" w:rsidRPr="008D6D6A">
        <w:rPr>
          <w:rFonts w:ascii="Verdana" w:hAnsi="Verdana" w:cs="Times New Roman"/>
          <w:sz w:val="20"/>
          <w:szCs w:val="20"/>
        </w:rPr>
        <w:t>Las reglas del mencionado artículo dejan a la discrecionalidad del tribunal el procedimiento a seguir en caso de existir información confidencial o protegida</w:t>
      </w:r>
      <w:r w:rsidR="00332AEA" w:rsidRPr="008D6D6A">
        <w:rPr>
          <w:rStyle w:val="Refdenotaalpie"/>
          <w:rFonts w:ascii="Verdana" w:hAnsi="Verdana" w:cs="Times New Roman"/>
          <w:sz w:val="20"/>
          <w:szCs w:val="20"/>
        </w:rPr>
        <w:footnoteReference w:id="120"/>
      </w:r>
      <w:r w:rsidR="00332AEA" w:rsidRPr="008D6D6A">
        <w:rPr>
          <w:rFonts w:ascii="Verdana" w:hAnsi="Verdana" w:cs="Times New Roman"/>
          <w:sz w:val="20"/>
          <w:szCs w:val="20"/>
        </w:rPr>
        <w:t>.</w:t>
      </w:r>
      <w:r w:rsidR="00D91417" w:rsidRPr="008D6D6A">
        <w:rPr>
          <w:rFonts w:ascii="Verdana" w:hAnsi="Verdana" w:cs="Times New Roman"/>
          <w:sz w:val="20"/>
          <w:szCs w:val="20"/>
        </w:rPr>
        <w:t xml:space="preserve"> En este caso el tribunal puede decidir sobre</w:t>
      </w:r>
      <w:r w:rsidR="0094548E" w:rsidRPr="008D6D6A">
        <w:rPr>
          <w:rFonts w:ascii="Verdana" w:hAnsi="Verdana" w:cs="Times New Roman"/>
          <w:sz w:val="20"/>
          <w:szCs w:val="20"/>
        </w:rPr>
        <w:t xml:space="preserve"> el p</w:t>
      </w:r>
      <w:r w:rsidR="001B09D5" w:rsidRPr="008D6D6A">
        <w:rPr>
          <w:rFonts w:ascii="Verdana" w:hAnsi="Verdana" w:cs="Times New Roman"/>
          <w:sz w:val="20"/>
          <w:szCs w:val="20"/>
        </w:rPr>
        <w:t>laz</w:t>
      </w:r>
      <w:r w:rsidR="0094548E" w:rsidRPr="008D6D6A">
        <w:rPr>
          <w:rFonts w:ascii="Verdana" w:hAnsi="Verdana" w:cs="Times New Roman"/>
          <w:sz w:val="20"/>
          <w:szCs w:val="20"/>
        </w:rPr>
        <w:t>o que tendrán las partes</w:t>
      </w:r>
      <w:r w:rsidR="00D91417" w:rsidRPr="008D6D6A">
        <w:rPr>
          <w:rFonts w:ascii="Verdana" w:hAnsi="Verdana" w:cs="Times New Roman"/>
          <w:sz w:val="20"/>
          <w:szCs w:val="20"/>
        </w:rPr>
        <w:t xml:space="preserve"> para solicitar que un determinado documento sea</w:t>
      </w:r>
      <w:r w:rsidR="00CF0DBF" w:rsidRPr="008D6D6A">
        <w:rPr>
          <w:rFonts w:ascii="Verdana" w:hAnsi="Verdana" w:cs="Times New Roman"/>
          <w:sz w:val="20"/>
          <w:szCs w:val="20"/>
        </w:rPr>
        <w:t xml:space="preserve"> declarado</w:t>
      </w:r>
      <w:r w:rsidR="00D91417" w:rsidRPr="008D6D6A">
        <w:rPr>
          <w:rFonts w:ascii="Verdana" w:hAnsi="Verdana" w:cs="Times New Roman"/>
          <w:sz w:val="20"/>
          <w:szCs w:val="20"/>
        </w:rPr>
        <w:t xml:space="preserve"> confidencial</w:t>
      </w:r>
      <w:r w:rsidR="00CF0DBF" w:rsidRPr="008D6D6A">
        <w:rPr>
          <w:rFonts w:ascii="Verdana" w:hAnsi="Verdana" w:cs="Times New Roman"/>
          <w:sz w:val="20"/>
          <w:szCs w:val="20"/>
        </w:rPr>
        <w:t>.</w:t>
      </w:r>
      <w:r w:rsidR="002438F2" w:rsidRPr="008D6D6A">
        <w:rPr>
          <w:rFonts w:ascii="Verdana" w:hAnsi="Verdana" w:cs="Times New Roman"/>
          <w:sz w:val="20"/>
          <w:szCs w:val="20"/>
        </w:rPr>
        <w:t xml:space="preserve"> </w:t>
      </w:r>
      <w:r w:rsidR="00CF0DBF" w:rsidRPr="008D6D6A">
        <w:rPr>
          <w:rFonts w:ascii="Verdana" w:hAnsi="Verdana" w:cs="Times New Roman"/>
          <w:sz w:val="20"/>
          <w:szCs w:val="20"/>
        </w:rPr>
        <w:t>E</w:t>
      </w:r>
      <w:r w:rsidR="002438F2" w:rsidRPr="008D6D6A">
        <w:rPr>
          <w:rFonts w:ascii="Verdana" w:hAnsi="Verdana" w:cs="Times New Roman"/>
          <w:sz w:val="20"/>
          <w:szCs w:val="20"/>
        </w:rPr>
        <w:t xml:space="preserve">n este sentido, en el caso </w:t>
      </w:r>
      <w:r w:rsidR="002438F2" w:rsidRPr="008D6D6A">
        <w:rPr>
          <w:rFonts w:ascii="Verdana" w:hAnsi="Verdana" w:cs="Times New Roman"/>
          <w:i/>
          <w:sz w:val="20"/>
          <w:szCs w:val="20"/>
        </w:rPr>
        <w:t>BSG Resources Limited, BSG Resources (Guinea) Limited and BSG Resources (Guinea) SÀRL vs. Republic of Guinea</w:t>
      </w:r>
      <w:r w:rsidR="002438F2" w:rsidRPr="008D6D6A">
        <w:rPr>
          <w:rFonts w:ascii="Verdana" w:hAnsi="Verdana" w:cs="Times New Roman"/>
          <w:sz w:val="20"/>
          <w:szCs w:val="20"/>
        </w:rPr>
        <w:t>, e</w:t>
      </w:r>
      <w:r w:rsidR="001377B8" w:rsidRPr="008D6D6A">
        <w:rPr>
          <w:rFonts w:ascii="Verdana" w:hAnsi="Verdana" w:cs="Times New Roman"/>
          <w:sz w:val="20"/>
          <w:szCs w:val="20"/>
        </w:rPr>
        <w:t>l tribunal le concedió</w:t>
      </w:r>
      <w:r w:rsidR="002438F2" w:rsidRPr="008D6D6A">
        <w:rPr>
          <w:rFonts w:ascii="Verdana" w:hAnsi="Verdana" w:cs="Times New Roman"/>
          <w:i/>
          <w:sz w:val="20"/>
          <w:szCs w:val="20"/>
        </w:rPr>
        <w:t xml:space="preserve"> </w:t>
      </w:r>
      <w:r w:rsidR="002438F2" w:rsidRPr="008D6D6A">
        <w:rPr>
          <w:rFonts w:ascii="Verdana" w:hAnsi="Verdana" w:cs="Times New Roman"/>
          <w:sz w:val="20"/>
          <w:szCs w:val="20"/>
        </w:rPr>
        <w:t>a las</w:t>
      </w:r>
      <w:r w:rsidR="002438F2" w:rsidRPr="008D6D6A">
        <w:rPr>
          <w:rFonts w:ascii="Verdana" w:hAnsi="Verdana" w:cs="Times New Roman"/>
          <w:i/>
          <w:sz w:val="20"/>
          <w:szCs w:val="20"/>
        </w:rPr>
        <w:t xml:space="preserve"> </w:t>
      </w:r>
      <w:r w:rsidR="002438F2" w:rsidRPr="008D6D6A">
        <w:rPr>
          <w:rFonts w:ascii="Verdana" w:hAnsi="Verdana" w:cs="Times New Roman"/>
          <w:sz w:val="20"/>
          <w:szCs w:val="20"/>
        </w:rPr>
        <w:t>partes</w:t>
      </w:r>
      <w:r w:rsidR="002438F2" w:rsidRPr="008D6D6A">
        <w:rPr>
          <w:rFonts w:ascii="Verdana" w:hAnsi="Verdana" w:cs="Times New Roman"/>
          <w:i/>
          <w:sz w:val="20"/>
          <w:szCs w:val="20"/>
        </w:rPr>
        <w:t xml:space="preserve"> </w:t>
      </w:r>
      <w:r w:rsidR="001377B8" w:rsidRPr="008D6D6A">
        <w:rPr>
          <w:rFonts w:ascii="Verdana" w:hAnsi="Verdana" w:cs="Times New Roman"/>
          <w:sz w:val="20"/>
          <w:szCs w:val="20"/>
        </w:rPr>
        <w:t>“</w:t>
      </w:r>
      <w:r w:rsidR="002438F2" w:rsidRPr="008D6D6A">
        <w:rPr>
          <w:rFonts w:ascii="Verdana" w:hAnsi="Verdana" w:cs="Times New Roman"/>
          <w:i/>
          <w:sz w:val="20"/>
          <w:szCs w:val="20"/>
        </w:rPr>
        <w:t>un plazo de 21 días para notificar que determinado documento presentado debe ser protegido, confidencial</w:t>
      </w:r>
      <w:r w:rsidR="002438F2" w:rsidRPr="008D6D6A">
        <w:rPr>
          <w:rFonts w:ascii="Verdana" w:hAnsi="Verdana" w:cs="Times New Roman"/>
          <w:sz w:val="20"/>
          <w:szCs w:val="20"/>
        </w:rPr>
        <w:t>”</w:t>
      </w:r>
      <w:r w:rsidR="002438F2" w:rsidRPr="008D6D6A">
        <w:rPr>
          <w:rStyle w:val="Refdenotaalpie"/>
          <w:rFonts w:ascii="Verdana" w:hAnsi="Verdana" w:cs="Times New Roman"/>
          <w:sz w:val="20"/>
          <w:szCs w:val="20"/>
        </w:rPr>
        <w:footnoteReference w:id="121"/>
      </w:r>
      <w:r w:rsidR="00CF0DBF" w:rsidRPr="008D6D6A">
        <w:rPr>
          <w:rFonts w:ascii="Verdana" w:hAnsi="Verdana" w:cs="Times New Roman"/>
          <w:sz w:val="20"/>
          <w:szCs w:val="20"/>
        </w:rPr>
        <w:t>.</w:t>
      </w:r>
      <w:r w:rsidR="00C52E44" w:rsidRPr="008D6D6A">
        <w:rPr>
          <w:rFonts w:ascii="Verdana" w:hAnsi="Verdana" w:cs="Times New Roman"/>
          <w:sz w:val="20"/>
          <w:szCs w:val="20"/>
        </w:rPr>
        <w:t xml:space="preserve"> </w:t>
      </w:r>
      <w:r w:rsidR="00CF0DBF" w:rsidRPr="008D6D6A">
        <w:rPr>
          <w:rFonts w:ascii="Verdana" w:hAnsi="Verdana" w:cs="Times New Roman"/>
          <w:sz w:val="20"/>
          <w:szCs w:val="20"/>
        </w:rPr>
        <w:t>U</w:t>
      </w:r>
      <w:r w:rsidR="00C52E44" w:rsidRPr="008D6D6A">
        <w:rPr>
          <w:rFonts w:ascii="Verdana" w:hAnsi="Verdana" w:cs="Times New Roman"/>
          <w:sz w:val="20"/>
          <w:szCs w:val="20"/>
        </w:rPr>
        <w:t>na vez notifi</w:t>
      </w:r>
      <w:r w:rsidR="00020763" w:rsidRPr="008D6D6A">
        <w:rPr>
          <w:rFonts w:ascii="Verdana" w:hAnsi="Verdana" w:cs="Times New Roman"/>
          <w:sz w:val="20"/>
          <w:szCs w:val="20"/>
        </w:rPr>
        <w:t>cado por las partes al tribunal</w:t>
      </w:r>
      <w:r w:rsidR="00C52E44" w:rsidRPr="008D6D6A">
        <w:rPr>
          <w:rFonts w:ascii="Verdana" w:hAnsi="Verdana" w:cs="Times New Roman"/>
          <w:sz w:val="20"/>
          <w:szCs w:val="20"/>
        </w:rPr>
        <w:t xml:space="preserve"> la confidenci</w:t>
      </w:r>
      <w:r w:rsidR="00020763" w:rsidRPr="008D6D6A">
        <w:rPr>
          <w:rFonts w:ascii="Verdana" w:hAnsi="Verdana" w:cs="Times New Roman"/>
          <w:sz w:val="20"/>
          <w:szCs w:val="20"/>
        </w:rPr>
        <w:t>alidad del documento, éstas</w:t>
      </w:r>
      <w:r w:rsidR="00C52E44" w:rsidRPr="008D6D6A">
        <w:rPr>
          <w:rFonts w:ascii="Verdana" w:hAnsi="Verdana" w:cs="Times New Roman"/>
          <w:sz w:val="20"/>
          <w:szCs w:val="20"/>
        </w:rPr>
        <w:t xml:space="preserve"> deben especificar qué parte del mismo debe ser pr</w:t>
      </w:r>
      <w:r w:rsidR="001B09D5" w:rsidRPr="008D6D6A">
        <w:rPr>
          <w:rFonts w:ascii="Verdana" w:hAnsi="Verdana" w:cs="Times New Roman"/>
          <w:sz w:val="20"/>
          <w:szCs w:val="20"/>
        </w:rPr>
        <w:t>otegido o si es en su totalidad.</w:t>
      </w:r>
      <w:r w:rsidR="00C52E44" w:rsidRPr="008D6D6A">
        <w:rPr>
          <w:rFonts w:ascii="Verdana" w:hAnsi="Verdana" w:cs="Times New Roman"/>
          <w:sz w:val="20"/>
          <w:szCs w:val="20"/>
        </w:rPr>
        <w:t xml:space="preserve"> </w:t>
      </w:r>
      <w:r w:rsidR="001B09D5" w:rsidRPr="008D6D6A">
        <w:rPr>
          <w:rFonts w:ascii="Verdana" w:hAnsi="Verdana" w:cs="Times New Roman"/>
          <w:sz w:val="20"/>
          <w:szCs w:val="20"/>
        </w:rPr>
        <w:t>D</w:t>
      </w:r>
      <w:r w:rsidR="00C52E44" w:rsidRPr="008D6D6A">
        <w:rPr>
          <w:rFonts w:ascii="Verdana" w:hAnsi="Verdana" w:cs="Times New Roman"/>
          <w:sz w:val="20"/>
          <w:szCs w:val="20"/>
        </w:rPr>
        <w:t>e esta forma el tribuna</w:t>
      </w:r>
      <w:r w:rsidR="000037B8" w:rsidRPr="008D6D6A">
        <w:rPr>
          <w:rFonts w:ascii="Verdana" w:hAnsi="Verdana" w:cs="Times New Roman"/>
          <w:sz w:val="20"/>
          <w:szCs w:val="20"/>
        </w:rPr>
        <w:t>l</w:t>
      </w:r>
      <w:r w:rsidR="00C52E44" w:rsidRPr="008D6D6A">
        <w:rPr>
          <w:rFonts w:ascii="Verdana" w:hAnsi="Verdana" w:cs="Times New Roman"/>
          <w:sz w:val="20"/>
          <w:szCs w:val="20"/>
        </w:rPr>
        <w:t xml:space="preserve"> </w:t>
      </w:r>
      <w:r w:rsidR="005F0E5B" w:rsidRPr="008D6D6A">
        <w:rPr>
          <w:rFonts w:ascii="Verdana" w:hAnsi="Verdana" w:cs="Times New Roman"/>
          <w:sz w:val="20"/>
          <w:szCs w:val="20"/>
        </w:rPr>
        <w:t>llevará a cabo los procedimiento</w:t>
      </w:r>
      <w:r w:rsidR="000652F8" w:rsidRPr="008D6D6A">
        <w:rPr>
          <w:rFonts w:ascii="Verdana" w:hAnsi="Verdana" w:cs="Times New Roman"/>
          <w:sz w:val="20"/>
          <w:szCs w:val="20"/>
        </w:rPr>
        <w:t>s</w:t>
      </w:r>
      <w:r w:rsidR="00493EF4" w:rsidRPr="008D6D6A">
        <w:rPr>
          <w:rFonts w:ascii="Verdana" w:hAnsi="Verdana" w:cs="Times New Roman"/>
          <w:sz w:val="20"/>
          <w:szCs w:val="20"/>
        </w:rPr>
        <w:t xml:space="preserve"> oportunos para</w:t>
      </w:r>
      <w:r w:rsidR="005F0E5B" w:rsidRPr="008D6D6A">
        <w:rPr>
          <w:rFonts w:ascii="Verdana" w:hAnsi="Verdana" w:cs="Times New Roman"/>
          <w:sz w:val="20"/>
          <w:szCs w:val="20"/>
        </w:rPr>
        <w:t xml:space="preserve"> seleccionar y suprimir dicha información. No obstante, la</w:t>
      </w:r>
      <w:r w:rsidR="00C52E44" w:rsidRPr="008D6D6A">
        <w:rPr>
          <w:rFonts w:ascii="Verdana" w:hAnsi="Verdana" w:cs="Times New Roman"/>
          <w:sz w:val="20"/>
          <w:szCs w:val="20"/>
        </w:rPr>
        <w:t xml:space="preserve"> decisión final la tendrá el tribunal una vez consultado con las partes</w:t>
      </w:r>
      <w:r w:rsidR="00BD405A" w:rsidRPr="008D6D6A">
        <w:rPr>
          <w:rStyle w:val="Refdenotaalpie"/>
          <w:rFonts w:ascii="Verdana" w:hAnsi="Verdana" w:cs="Times New Roman"/>
          <w:sz w:val="20"/>
          <w:szCs w:val="20"/>
        </w:rPr>
        <w:footnoteReference w:id="122"/>
      </w:r>
      <w:r w:rsidR="00BD405A" w:rsidRPr="008D6D6A">
        <w:rPr>
          <w:rFonts w:ascii="Verdana" w:hAnsi="Verdana" w:cs="Times New Roman"/>
          <w:sz w:val="20"/>
          <w:szCs w:val="20"/>
        </w:rPr>
        <w:t xml:space="preserve">. Tal y como reconoció el Tribunal del caso </w:t>
      </w:r>
      <w:r w:rsidR="00BD405A" w:rsidRPr="008D6D6A">
        <w:rPr>
          <w:rFonts w:ascii="Verdana" w:hAnsi="Verdana" w:cs="Times New Roman"/>
          <w:i/>
          <w:sz w:val="20"/>
          <w:szCs w:val="20"/>
        </w:rPr>
        <w:t>BSG Resources</w:t>
      </w:r>
      <w:r w:rsidR="00BD405A" w:rsidRPr="008D6D6A">
        <w:rPr>
          <w:rFonts w:ascii="Verdana" w:hAnsi="Verdana" w:cs="Times New Roman"/>
          <w:sz w:val="20"/>
          <w:szCs w:val="20"/>
        </w:rPr>
        <w:t xml:space="preserve"> </w:t>
      </w:r>
      <w:r w:rsidR="00BD405A" w:rsidRPr="008D6D6A">
        <w:rPr>
          <w:rFonts w:ascii="Verdana" w:hAnsi="Verdana" w:cs="Times New Roman"/>
          <w:i/>
          <w:sz w:val="20"/>
          <w:szCs w:val="20"/>
        </w:rPr>
        <w:t>Limited, BSG Resources (Guinea) Limited and BSG Resources (Guinea) SÀRL vs. Republic of Guinea,</w:t>
      </w:r>
      <w:r w:rsidR="006370B1" w:rsidRPr="008D6D6A">
        <w:rPr>
          <w:rFonts w:ascii="Verdana" w:hAnsi="Verdana" w:cs="Times New Roman"/>
          <w:sz w:val="20"/>
          <w:szCs w:val="20"/>
        </w:rPr>
        <w:t xml:space="preserve"> al establecer</w:t>
      </w:r>
      <w:r w:rsidR="00BD405A" w:rsidRPr="008D6D6A">
        <w:rPr>
          <w:rFonts w:ascii="Verdana" w:hAnsi="Verdana" w:cs="Times New Roman"/>
          <w:i/>
          <w:sz w:val="20"/>
          <w:szCs w:val="20"/>
        </w:rPr>
        <w:t xml:space="preserve"> “</w:t>
      </w:r>
      <w:r w:rsidR="00BD405A" w:rsidRPr="008D6D6A">
        <w:rPr>
          <w:rStyle w:val="Refdenotaalpie"/>
          <w:rFonts w:ascii="Verdana" w:hAnsi="Verdana" w:cs="Times New Roman"/>
          <w:i/>
          <w:sz w:val="20"/>
          <w:szCs w:val="20"/>
          <w:vertAlign w:val="baseline"/>
        </w:rPr>
        <w:t>cualquier solicitud de protección de información confidencial o protegida realizada de conformidad con el párrafo anterior deberá identificar específicamente la parte (o</w:t>
      </w:r>
      <w:r w:rsidR="00BD405A" w:rsidRPr="008D6D6A">
        <w:rPr>
          <w:rFonts w:ascii="Verdana" w:hAnsi="Verdana" w:cs="Times New Roman"/>
          <w:i/>
          <w:sz w:val="20"/>
          <w:szCs w:val="20"/>
        </w:rPr>
        <w:t xml:space="preserve"> </w:t>
      </w:r>
      <w:r w:rsidR="00BD405A" w:rsidRPr="008D6D6A">
        <w:rPr>
          <w:rStyle w:val="Refdenotaalpie"/>
          <w:rFonts w:ascii="Verdana" w:hAnsi="Verdana" w:cs="Times New Roman"/>
          <w:i/>
          <w:sz w:val="20"/>
          <w:szCs w:val="20"/>
          <w:vertAlign w:val="baseline"/>
        </w:rPr>
        <w:t>partes) del documento que se pretende designar como confidencial o protegido. Después de consultar a las Partes, el Tribunal decidirá si la información identificada es</w:t>
      </w:r>
      <w:r w:rsidR="00BD405A" w:rsidRPr="008D6D6A">
        <w:rPr>
          <w:rFonts w:ascii="Verdana" w:hAnsi="Verdana" w:cs="Times New Roman"/>
          <w:i/>
          <w:sz w:val="20"/>
          <w:szCs w:val="20"/>
        </w:rPr>
        <w:t xml:space="preserve"> </w:t>
      </w:r>
      <w:r w:rsidR="00E130CB" w:rsidRPr="008D6D6A">
        <w:rPr>
          <w:rStyle w:val="Refdenotaalpie"/>
          <w:rFonts w:ascii="Verdana" w:hAnsi="Verdana" w:cs="Times New Roman"/>
          <w:i/>
          <w:sz w:val="20"/>
          <w:szCs w:val="20"/>
          <w:vertAlign w:val="baseline"/>
        </w:rPr>
        <w:t>confidencial o protegida</w:t>
      </w:r>
      <w:r w:rsidR="00BD405A" w:rsidRPr="008D6D6A">
        <w:rPr>
          <w:rStyle w:val="Refdenotaalpie"/>
          <w:rFonts w:ascii="Verdana" w:hAnsi="Verdana" w:cs="Times New Roman"/>
          <w:i/>
          <w:sz w:val="20"/>
          <w:szCs w:val="20"/>
          <w:vertAlign w:val="baseline"/>
        </w:rPr>
        <w:t>”</w:t>
      </w:r>
      <w:r w:rsidR="00BD405A" w:rsidRPr="008D6D6A">
        <w:rPr>
          <w:rStyle w:val="Refdenotaalpie"/>
          <w:rFonts w:ascii="Verdana" w:hAnsi="Verdana" w:cs="Times New Roman"/>
          <w:i/>
          <w:sz w:val="20"/>
          <w:szCs w:val="20"/>
        </w:rPr>
        <w:footnoteReference w:id="123"/>
      </w:r>
      <w:r w:rsidR="00C52E44" w:rsidRPr="008D6D6A">
        <w:rPr>
          <w:rFonts w:ascii="Verdana" w:hAnsi="Verdana" w:cs="Times New Roman"/>
          <w:sz w:val="20"/>
          <w:szCs w:val="20"/>
        </w:rPr>
        <w:t>.</w:t>
      </w:r>
      <w:r w:rsidR="00E130CB" w:rsidRPr="008D6D6A">
        <w:rPr>
          <w:rFonts w:ascii="Verdana" w:hAnsi="Verdana" w:cs="Times New Roman"/>
          <w:sz w:val="20"/>
          <w:szCs w:val="20"/>
        </w:rPr>
        <w:t xml:space="preserve"> </w:t>
      </w:r>
      <w:r w:rsidR="003E51D0" w:rsidRPr="008D6D6A">
        <w:rPr>
          <w:rFonts w:ascii="Verdana" w:hAnsi="Verdana" w:cs="Times New Roman"/>
          <w:sz w:val="20"/>
          <w:szCs w:val="20"/>
        </w:rPr>
        <w:t>Decisión contra la cual, el Reglamento no establece la posibilidad de que las partes puedan presentar recurso alguno.</w:t>
      </w:r>
    </w:p>
    <w:p w:rsidR="00CC54EF" w:rsidRPr="008D6D6A" w:rsidRDefault="00B613AC"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En este sentido, resulta interesante que el propio Reglamento no establezca la ley aplicable por la que se regirá el tribunal para determinar la confidencialidad de</w:t>
      </w:r>
      <w:r w:rsidR="00414AAE" w:rsidRPr="008D6D6A">
        <w:rPr>
          <w:rFonts w:ascii="Verdana" w:hAnsi="Verdana" w:cs="Times New Roman"/>
          <w:sz w:val="20"/>
          <w:szCs w:val="20"/>
        </w:rPr>
        <w:t xml:space="preserve"> la información proporcionada, otorgándole</w:t>
      </w:r>
      <w:r w:rsidRPr="008D6D6A">
        <w:rPr>
          <w:rFonts w:ascii="Verdana" w:hAnsi="Verdana" w:cs="Times New Roman"/>
          <w:sz w:val="20"/>
          <w:szCs w:val="20"/>
        </w:rPr>
        <w:t xml:space="preserve"> al tribunal arbitral la facultad de decidir sobre </w:t>
      </w:r>
      <w:r w:rsidRPr="008D6D6A">
        <w:rPr>
          <w:rFonts w:ascii="Verdana" w:hAnsi="Verdana" w:cs="Times New Roman"/>
          <w:sz w:val="20"/>
          <w:szCs w:val="20"/>
        </w:rPr>
        <w:lastRenderedPageBreak/>
        <w:t>cuál será el Derecho sustantivo que regirá tal cuestión. Con excepción en el caso de la informaci</w:t>
      </w:r>
      <w:r w:rsidR="00CC54EF" w:rsidRPr="008D6D6A">
        <w:rPr>
          <w:rFonts w:ascii="Verdana" w:hAnsi="Verdana" w:cs="Times New Roman"/>
          <w:sz w:val="20"/>
          <w:szCs w:val="20"/>
        </w:rPr>
        <w:t>ón del Estado demandado, que</w:t>
      </w:r>
      <w:r w:rsidRPr="008D6D6A">
        <w:rPr>
          <w:rFonts w:ascii="Verdana" w:hAnsi="Verdana" w:cs="Times New Roman"/>
          <w:sz w:val="20"/>
          <w:szCs w:val="20"/>
        </w:rPr>
        <w:t xml:space="preserve"> especifica que dicha información será confidencial si así lo establece la legislación del mismo</w:t>
      </w:r>
      <w:r w:rsidRPr="008D6D6A">
        <w:rPr>
          <w:rStyle w:val="Refdenotaalpie"/>
          <w:rFonts w:ascii="Verdana" w:hAnsi="Verdana" w:cs="Times New Roman"/>
          <w:sz w:val="20"/>
          <w:szCs w:val="20"/>
        </w:rPr>
        <w:footnoteReference w:id="124"/>
      </w:r>
      <w:r w:rsidR="00414AAE" w:rsidRPr="008D6D6A">
        <w:rPr>
          <w:rFonts w:ascii="Verdana" w:hAnsi="Verdana" w:cs="Times New Roman"/>
          <w:sz w:val="20"/>
          <w:szCs w:val="20"/>
        </w:rPr>
        <w:t>,</w:t>
      </w:r>
      <w:r w:rsidR="00150996" w:rsidRPr="008D6D6A">
        <w:rPr>
          <w:rFonts w:ascii="Verdana" w:hAnsi="Verdana" w:cs="Times New Roman"/>
          <w:sz w:val="20"/>
          <w:szCs w:val="20"/>
        </w:rPr>
        <w:t xml:space="preserve"> y </w:t>
      </w:r>
      <w:r w:rsidRPr="008D6D6A">
        <w:rPr>
          <w:rFonts w:ascii="Verdana" w:hAnsi="Verdana" w:cs="Times New Roman"/>
          <w:sz w:val="20"/>
          <w:szCs w:val="20"/>
        </w:rPr>
        <w:t xml:space="preserve">con respecto a la información de los Estados demandados, los cuales no estarán obligados a divulgar información que consideren </w:t>
      </w:r>
      <w:r w:rsidR="007B44EC" w:rsidRPr="008D6D6A">
        <w:rPr>
          <w:rFonts w:ascii="Verdana" w:hAnsi="Verdana" w:cs="Times New Roman"/>
          <w:sz w:val="20"/>
          <w:szCs w:val="20"/>
        </w:rPr>
        <w:t>contrarias a sus intereses de seguridad esencial</w:t>
      </w:r>
      <w:r w:rsidR="00CC54EF" w:rsidRPr="008D6D6A">
        <w:rPr>
          <w:rFonts w:ascii="Verdana" w:hAnsi="Verdana" w:cs="Times New Roman"/>
          <w:sz w:val="20"/>
          <w:szCs w:val="20"/>
        </w:rPr>
        <w:t>es</w:t>
      </w:r>
      <w:r w:rsidR="007B44EC" w:rsidRPr="008D6D6A">
        <w:rPr>
          <w:rStyle w:val="Refdenotaalpie"/>
          <w:rFonts w:ascii="Verdana" w:hAnsi="Verdana" w:cs="Times New Roman"/>
          <w:sz w:val="20"/>
          <w:szCs w:val="20"/>
        </w:rPr>
        <w:footnoteReference w:id="125"/>
      </w:r>
      <w:r w:rsidR="00150996" w:rsidRPr="008D6D6A">
        <w:rPr>
          <w:rFonts w:ascii="Verdana" w:hAnsi="Verdana" w:cs="Times New Roman"/>
          <w:sz w:val="20"/>
          <w:szCs w:val="20"/>
        </w:rPr>
        <w:t>. Tal y como lo reconoce la Ley española sobre secretos oficiales cuando reconoce que tendrán carácter de secreto toda materia clasificada, considerando así “</w:t>
      </w:r>
      <w:r w:rsidR="00150996" w:rsidRPr="008D6D6A">
        <w:rPr>
          <w:rFonts w:ascii="Verdana" w:hAnsi="Verdana" w:cs="Times New Roman"/>
          <w:i/>
          <w:sz w:val="20"/>
          <w:szCs w:val="20"/>
        </w:rPr>
        <w:t>los asuntos, actos, documentos, informaciones, datos y objetos cuyo conocimiento por personas no autorizadas pueda dañar o poner en riesgo la seguridad y defensa del Estado</w:t>
      </w:r>
      <w:r w:rsidR="00150996" w:rsidRPr="008D6D6A">
        <w:rPr>
          <w:rFonts w:ascii="Verdana" w:hAnsi="Verdana" w:cs="Times New Roman"/>
          <w:sz w:val="20"/>
          <w:szCs w:val="20"/>
        </w:rPr>
        <w:t>”</w:t>
      </w:r>
      <w:r w:rsidR="00150996" w:rsidRPr="008D6D6A">
        <w:rPr>
          <w:rStyle w:val="Refdenotaalpie"/>
          <w:rFonts w:ascii="Verdana" w:hAnsi="Verdana" w:cs="Times New Roman"/>
          <w:sz w:val="20"/>
          <w:szCs w:val="20"/>
        </w:rPr>
        <w:footnoteReference w:id="126"/>
      </w:r>
      <w:r w:rsidR="000D551E" w:rsidRPr="008D6D6A">
        <w:rPr>
          <w:rFonts w:ascii="Verdana" w:hAnsi="Verdana" w:cs="Times New Roman"/>
          <w:sz w:val="20"/>
          <w:szCs w:val="20"/>
        </w:rPr>
        <w:t>. Se trata, sin duda, de una regla</w:t>
      </w:r>
      <w:r w:rsidR="007B44EC" w:rsidRPr="008D6D6A">
        <w:rPr>
          <w:rFonts w:ascii="Verdana" w:hAnsi="Verdana" w:cs="Times New Roman"/>
          <w:sz w:val="20"/>
          <w:szCs w:val="20"/>
        </w:rPr>
        <w:t xml:space="preserve"> excepcionalísima del Reglamento sobre </w:t>
      </w:r>
      <w:r w:rsidR="0094548E" w:rsidRPr="008D6D6A">
        <w:rPr>
          <w:rFonts w:ascii="Verdana" w:hAnsi="Verdana" w:cs="Times New Roman"/>
          <w:sz w:val="20"/>
          <w:szCs w:val="20"/>
        </w:rPr>
        <w:t xml:space="preserve">la </w:t>
      </w:r>
      <w:r w:rsidR="00A4792F" w:rsidRPr="008D6D6A">
        <w:rPr>
          <w:rFonts w:ascii="Verdana" w:hAnsi="Verdana" w:cs="Times New Roman"/>
          <w:sz w:val="20"/>
          <w:szCs w:val="20"/>
        </w:rPr>
        <w:t xml:space="preserve">Transparencia, </w:t>
      </w:r>
      <w:r w:rsidR="000D551E" w:rsidRPr="008D6D6A">
        <w:rPr>
          <w:rFonts w:ascii="Verdana" w:hAnsi="Verdana" w:cs="Times New Roman"/>
          <w:sz w:val="20"/>
          <w:szCs w:val="20"/>
        </w:rPr>
        <w:t>o, si se prefiere, una</w:t>
      </w:r>
      <w:r w:rsidR="00020763" w:rsidRPr="008D6D6A">
        <w:rPr>
          <w:rFonts w:ascii="Verdana" w:hAnsi="Verdana" w:cs="Times New Roman"/>
          <w:sz w:val="20"/>
          <w:szCs w:val="20"/>
        </w:rPr>
        <w:t xml:space="preserve"> cláusula de </w:t>
      </w:r>
      <w:r w:rsidR="002F17B7" w:rsidRPr="008D6D6A">
        <w:rPr>
          <w:rFonts w:ascii="Verdana" w:hAnsi="Verdana" w:cs="Times New Roman"/>
          <w:sz w:val="20"/>
          <w:szCs w:val="20"/>
        </w:rPr>
        <w:t>auto ejecución</w:t>
      </w:r>
      <w:r w:rsidR="00020763" w:rsidRPr="008D6D6A">
        <w:rPr>
          <w:rFonts w:ascii="Verdana" w:hAnsi="Verdana" w:cs="Times New Roman"/>
          <w:sz w:val="20"/>
          <w:szCs w:val="20"/>
        </w:rPr>
        <w:t xml:space="preserve">, </w:t>
      </w:r>
      <w:r w:rsidR="000D551E" w:rsidRPr="008D6D6A">
        <w:rPr>
          <w:rFonts w:ascii="Verdana" w:hAnsi="Verdana" w:cs="Times New Roman"/>
          <w:sz w:val="20"/>
          <w:szCs w:val="20"/>
        </w:rPr>
        <w:t>dirigida a salvaguardar</w:t>
      </w:r>
      <w:r w:rsidR="00020763" w:rsidRPr="008D6D6A">
        <w:rPr>
          <w:rFonts w:ascii="Verdana" w:hAnsi="Verdana" w:cs="Times New Roman"/>
          <w:sz w:val="20"/>
          <w:szCs w:val="20"/>
        </w:rPr>
        <w:t xml:space="preserve"> los intereses esenciales de seguridad de los Estados</w:t>
      </w:r>
      <w:r w:rsidR="00020763" w:rsidRPr="008D6D6A">
        <w:rPr>
          <w:rStyle w:val="Refdenotaalpie"/>
          <w:rFonts w:ascii="Verdana" w:hAnsi="Verdana" w:cs="Times New Roman"/>
          <w:sz w:val="20"/>
          <w:szCs w:val="20"/>
        </w:rPr>
        <w:footnoteReference w:id="127"/>
      </w:r>
      <w:r w:rsidR="00020763" w:rsidRPr="008D6D6A">
        <w:rPr>
          <w:rFonts w:ascii="Verdana" w:hAnsi="Verdana" w:cs="Times New Roman"/>
          <w:sz w:val="20"/>
          <w:szCs w:val="20"/>
        </w:rPr>
        <w:t xml:space="preserve">. </w:t>
      </w:r>
    </w:p>
    <w:p w:rsidR="00251FD3" w:rsidRPr="008D6D6A" w:rsidRDefault="007B44EC"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Sin embargo, </w:t>
      </w:r>
      <w:r w:rsidR="00CC54EF" w:rsidRPr="008D6D6A">
        <w:rPr>
          <w:rFonts w:ascii="Verdana" w:hAnsi="Verdana" w:cs="Times New Roman"/>
          <w:sz w:val="20"/>
          <w:szCs w:val="20"/>
        </w:rPr>
        <w:t xml:space="preserve">estas excepciones también tienen sus límites. </w:t>
      </w:r>
      <w:r w:rsidR="00A45951" w:rsidRPr="008D6D6A">
        <w:rPr>
          <w:rFonts w:ascii="Verdana" w:hAnsi="Verdana" w:cs="Times New Roman"/>
          <w:sz w:val="20"/>
          <w:szCs w:val="20"/>
        </w:rPr>
        <w:t xml:space="preserve">Si un Estado mantiene la confidencialidad de la </w:t>
      </w:r>
      <w:r w:rsidR="00CC54EF" w:rsidRPr="008D6D6A">
        <w:rPr>
          <w:rFonts w:ascii="Verdana" w:hAnsi="Verdana" w:cs="Times New Roman"/>
          <w:sz w:val="20"/>
          <w:szCs w:val="20"/>
        </w:rPr>
        <w:t>información</w:t>
      </w:r>
      <w:r w:rsidR="00A45951" w:rsidRPr="008D6D6A">
        <w:rPr>
          <w:rFonts w:ascii="Verdana" w:hAnsi="Verdana" w:cs="Times New Roman"/>
          <w:sz w:val="20"/>
          <w:szCs w:val="20"/>
        </w:rPr>
        <w:t>, o considera que la misma no debe divulgarse para proteger sus intereses e</w:t>
      </w:r>
      <w:r w:rsidR="008670C0" w:rsidRPr="008D6D6A">
        <w:rPr>
          <w:rFonts w:ascii="Verdana" w:hAnsi="Verdana" w:cs="Times New Roman"/>
          <w:sz w:val="20"/>
          <w:szCs w:val="20"/>
        </w:rPr>
        <w:t xml:space="preserve">senciales de seguridad, </w:t>
      </w:r>
      <w:r w:rsidR="005F4188" w:rsidRPr="008D6D6A">
        <w:rPr>
          <w:rFonts w:ascii="Verdana" w:hAnsi="Verdana" w:cs="Times New Roman"/>
          <w:sz w:val="20"/>
          <w:szCs w:val="20"/>
        </w:rPr>
        <w:t>dicha información gozará de protección conforme a su propia legislación</w:t>
      </w:r>
      <w:r w:rsidR="00CC54EF" w:rsidRPr="008D6D6A">
        <w:rPr>
          <w:rFonts w:ascii="Verdana" w:hAnsi="Verdana" w:cs="Times New Roman"/>
          <w:sz w:val="20"/>
          <w:szCs w:val="20"/>
        </w:rPr>
        <w:t>,</w:t>
      </w:r>
      <w:r w:rsidR="00A45951" w:rsidRPr="008D6D6A">
        <w:rPr>
          <w:rFonts w:ascii="Verdana" w:hAnsi="Verdana" w:cs="Times New Roman"/>
          <w:sz w:val="20"/>
          <w:szCs w:val="20"/>
        </w:rPr>
        <w:t xml:space="preserve"> </w:t>
      </w:r>
      <w:r w:rsidR="008670C0" w:rsidRPr="008D6D6A">
        <w:rPr>
          <w:rFonts w:ascii="Verdana" w:hAnsi="Verdana" w:cs="Times New Roman"/>
          <w:sz w:val="20"/>
          <w:szCs w:val="20"/>
        </w:rPr>
        <w:t xml:space="preserve">por lo que </w:t>
      </w:r>
      <w:r w:rsidR="00A45951" w:rsidRPr="008D6D6A">
        <w:rPr>
          <w:rFonts w:ascii="Verdana" w:hAnsi="Verdana" w:cs="Times New Roman"/>
          <w:sz w:val="20"/>
          <w:szCs w:val="20"/>
        </w:rPr>
        <w:t>consideramos que ni siquiera debe ser presentada al</w:t>
      </w:r>
      <w:r w:rsidR="00CC54EF" w:rsidRPr="008D6D6A">
        <w:rPr>
          <w:rFonts w:ascii="Verdana" w:hAnsi="Verdana" w:cs="Times New Roman"/>
          <w:sz w:val="20"/>
          <w:szCs w:val="20"/>
        </w:rPr>
        <w:t xml:space="preserve"> tribunal. </w:t>
      </w:r>
      <w:r w:rsidR="00234ED5" w:rsidRPr="008D6D6A">
        <w:rPr>
          <w:rFonts w:ascii="Verdana" w:hAnsi="Verdana" w:cs="Times New Roman"/>
          <w:sz w:val="20"/>
          <w:szCs w:val="20"/>
        </w:rPr>
        <w:t>S</w:t>
      </w:r>
      <w:r w:rsidR="00B33998">
        <w:rPr>
          <w:rFonts w:ascii="Verdana" w:hAnsi="Verdana" w:cs="Times New Roman"/>
          <w:sz w:val="20"/>
          <w:szCs w:val="20"/>
        </w:rPr>
        <w:t>o</w:t>
      </w:r>
      <w:r w:rsidR="00A45951" w:rsidRPr="008D6D6A">
        <w:rPr>
          <w:rFonts w:ascii="Verdana" w:hAnsi="Verdana" w:cs="Times New Roman"/>
          <w:sz w:val="20"/>
          <w:szCs w:val="20"/>
        </w:rPr>
        <w:t>lo sería posible aplicar dicha excepción</w:t>
      </w:r>
      <w:r w:rsidR="0004095C" w:rsidRPr="008D6D6A">
        <w:rPr>
          <w:rFonts w:ascii="Verdana" w:hAnsi="Verdana" w:cs="Times New Roman"/>
          <w:sz w:val="20"/>
          <w:szCs w:val="20"/>
        </w:rPr>
        <w:t xml:space="preserve"> de</w:t>
      </w:r>
      <w:r w:rsidR="00A45951" w:rsidRPr="008D6D6A">
        <w:rPr>
          <w:rFonts w:ascii="Verdana" w:hAnsi="Verdana" w:cs="Times New Roman"/>
          <w:sz w:val="20"/>
          <w:szCs w:val="20"/>
        </w:rPr>
        <w:t xml:space="preserve"> </w:t>
      </w:r>
      <w:r w:rsidR="00CC54EF" w:rsidRPr="008D6D6A">
        <w:rPr>
          <w:rFonts w:ascii="Verdana" w:hAnsi="Verdana" w:cs="Times New Roman"/>
          <w:sz w:val="20"/>
          <w:szCs w:val="20"/>
        </w:rPr>
        <w:t>confidenc</w:t>
      </w:r>
      <w:r w:rsidR="0004095C" w:rsidRPr="008D6D6A">
        <w:rPr>
          <w:rFonts w:ascii="Verdana" w:hAnsi="Verdana" w:cs="Times New Roman"/>
          <w:sz w:val="20"/>
          <w:szCs w:val="20"/>
        </w:rPr>
        <w:t>ial</w:t>
      </w:r>
      <w:r w:rsidR="00234ED5" w:rsidRPr="008D6D6A">
        <w:rPr>
          <w:rFonts w:ascii="Verdana" w:hAnsi="Verdana" w:cs="Times New Roman"/>
          <w:sz w:val="20"/>
          <w:szCs w:val="20"/>
        </w:rPr>
        <w:t>idad de la información sí</w:t>
      </w:r>
      <w:r w:rsidR="0004095C" w:rsidRPr="008D6D6A">
        <w:rPr>
          <w:rFonts w:ascii="Verdana" w:hAnsi="Verdana" w:cs="Times New Roman"/>
          <w:sz w:val="20"/>
          <w:szCs w:val="20"/>
        </w:rPr>
        <w:t xml:space="preserve"> fuese sol</w:t>
      </w:r>
      <w:r w:rsidR="008670C0" w:rsidRPr="008D6D6A">
        <w:rPr>
          <w:rFonts w:ascii="Verdana" w:hAnsi="Verdana" w:cs="Times New Roman"/>
          <w:sz w:val="20"/>
          <w:szCs w:val="20"/>
        </w:rPr>
        <w:t>icitado por el Estado d</w:t>
      </w:r>
      <w:r w:rsidR="0004095C" w:rsidRPr="008D6D6A">
        <w:rPr>
          <w:rFonts w:ascii="Verdana" w:hAnsi="Verdana" w:cs="Times New Roman"/>
          <w:sz w:val="20"/>
          <w:szCs w:val="20"/>
        </w:rPr>
        <w:t xml:space="preserve">emandado al tribunal arbitral, encontrándose la misma en poder del </w:t>
      </w:r>
      <w:r w:rsidR="00CC54EF" w:rsidRPr="008D6D6A">
        <w:rPr>
          <w:rFonts w:ascii="Verdana" w:hAnsi="Verdana" w:cs="Times New Roman"/>
          <w:sz w:val="20"/>
          <w:szCs w:val="20"/>
        </w:rPr>
        <w:t>inversionista</w:t>
      </w:r>
      <w:r w:rsidR="00234ED5" w:rsidRPr="008D6D6A">
        <w:rPr>
          <w:rFonts w:ascii="Verdana" w:hAnsi="Verdana" w:cs="Times New Roman"/>
          <w:sz w:val="20"/>
          <w:szCs w:val="20"/>
        </w:rPr>
        <w:t>, o</w:t>
      </w:r>
      <w:r w:rsidR="005F4188" w:rsidRPr="008D6D6A">
        <w:rPr>
          <w:rFonts w:ascii="Verdana" w:hAnsi="Verdana" w:cs="Times New Roman"/>
          <w:sz w:val="20"/>
          <w:szCs w:val="20"/>
        </w:rPr>
        <w:t xml:space="preserve"> cuando</w:t>
      </w:r>
      <w:r w:rsidR="0004095C" w:rsidRPr="008D6D6A">
        <w:rPr>
          <w:rFonts w:ascii="Verdana" w:hAnsi="Verdana" w:cs="Times New Roman"/>
          <w:sz w:val="20"/>
          <w:szCs w:val="20"/>
        </w:rPr>
        <w:t xml:space="preserve"> estando</w:t>
      </w:r>
      <w:r w:rsidR="00E16BAE" w:rsidRPr="008D6D6A">
        <w:rPr>
          <w:rFonts w:ascii="Verdana" w:hAnsi="Verdana" w:cs="Times New Roman"/>
          <w:sz w:val="20"/>
          <w:szCs w:val="20"/>
        </w:rPr>
        <w:t xml:space="preserve"> en poder del inversionista éste</w:t>
      </w:r>
      <w:r w:rsidR="0004095C" w:rsidRPr="008D6D6A">
        <w:rPr>
          <w:rFonts w:ascii="Verdana" w:hAnsi="Verdana" w:cs="Times New Roman"/>
          <w:sz w:val="20"/>
          <w:szCs w:val="20"/>
        </w:rPr>
        <w:t xml:space="preserve"> la ha presentado</w:t>
      </w:r>
      <w:r w:rsidR="00CC54EF" w:rsidRPr="008D6D6A">
        <w:rPr>
          <w:rFonts w:ascii="Verdana" w:hAnsi="Verdana" w:cs="Times New Roman"/>
          <w:sz w:val="20"/>
          <w:szCs w:val="20"/>
        </w:rPr>
        <w:t xml:space="preserve"> posteriormente </w:t>
      </w:r>
      <w:r w:rsidR="0004095C" w:rsidRPr="008D6D6A">
        <w:rPr>
          <w:rFonts w:ascii="Verdana" w:hAnsi="Verdana" w:cs="Times New Roman"/>
          <w:sz w:val="20"/>
          <w:szCs w:val="20"/>
        </w:rPr>
        <w:t>al tribunal</w:t>
      </w:r>
      <w:r w:rsidR="00234ED5" w:rsidRPr="008D6D6A">
        <w:rPr>
          <w:rFonts w:ascii="Verdana" w:hAnsi="Verdana" w:cs="Times New Roman"/>
          <w:sz w:val="20"/>
          <w:szCs w:val="20"/>
        </w:rPr>
        <w:t>.</w:t>
      </w:r>
      <w:r w:rsidR="0004095C" w:rsidRPr="008D6D6A">
        <w:rPr>
          <w:rFonts w:ascii="Verdana" w:hAnsi="Verdana" w:cs="Times New Roman"/>
          <w:sz w:val="20"/>
          <w:szCs w:val="20"/>
        </w:rPr>
        <w:t xml:space="preserve"> </w:t>
      </w:r>
      <w:r w:rsidR="00234ED5" w:rsidRPr="008D6D6A">
        <w:rPr>
          <w:rFonts w:ascii="Verdana" w:hAnsi="Verdana" w:cs="Times New Roman"/>
          <w:sz w:val="20"/>
          <w:szCs w:val="20"/>
        </w:rPr>
        <w:t>C</w:t>
      </w:r>
      <w:r w:rsidR="0004095C" w:rsidRPr="008D6D6A">
        <w:rPr>
          <w:rFonts w:ascii="Verdana" w:hAnsi="Verdana" w:cs="Times New Roman"/>
          <w:sz w:val="20"/>
          <w:szCs w:val="20"/>
        </w:rPr>
        <w:t>abe la posibilidad también de que dicha información se ha</w:t>
      </w:r>
      <w:r w:rsidR="00234ED5" w:rsidRPr="008D6D6A">
        <w:rPr>
          <w:rFonts w:ascii="Verdana" w:hAnsi="Verdana" w:cs="Times New Roman"/>
          <w:sz w:val="20"/>
          <w:szCs w:val="20"/>
        </w:rPr>
        <w:t>ya</w:t>
      </w:r>
      <w:r w:rsidR="00CC54EF" w:rsidRPr="008D6D6A">
        <w:rPr>
          <w:rFonts w:ascii="Verdana" w:hAnsi="Verdana" w:cs="Times New Roman"/>
          <w:sz w:val="20"/>
          <w:szCs w:val="20"/>
        </w:rPr>
        <w:t xml:space="preserve"> presentado voluntariam</w:t>
      </w:r>
      <w:r w:rsidR="008670C0" w:rsidRPr="008D6D6A">
        <w:rPr>
          <w:rFonts w:ascii="Verdana" w:hAnsi="Verdana" w:cs="Times New Roman"/>
          <w:sz w:val="20"/>
          <w:szCs w:val="20"/>
        </w:rPr>
        <w:t>ente al tribunal por el Estado d</w:t>
      </w:r>
      <w:r w:rsidR="00CC54EF" w:rsidRPr="008D6D6A">
        <w:rPr>
          <w:rFonts w:ascii="Verdana" w:hAnsi="Verdana" w:cs="Times New Roman"/>
          <w:sz w:val="20"/>
          <w:szCs w:val="20"/>
        </w:rPr>
        <w:t>emandado</w:t>
      </w:r>
      <w:r w:rsidR="0004095C" w:rsidRPr="008D6D6A">
        <w:rPr>
          <w:rStyle w:val="Refdenotaalpie"/>
          <w:rFonts w:ascii="Verdana" w:hAnsi="Verdana" w:cs="Times New Roman"/>
          <w:sz w:val="20"/>
          <w:szCs w:val="20"/>
        </w:rPr>
        <w:footnoteReference w:id="128"/>
      </w:r>
      <w:r w:rsidR="00CC54EF" w:rsidRPr="008D6D6A">
        <w:rPr>
          <w:rFonts w:ascii="Verdana" w:hAnsi="Verdana" w:cs="Times New Roman"/>
          <w:sz w:val="20"/>
          <w:szCs w:val="20"/>
        </w:rPr>
        <w:t xml:space="preserve">. </w:t>
      </w:r>
      <w:r w:rsidR="00E16BAE" w:rsidRPr="008D6D6A">
        <w:rPr>
          <w:rFonts w:ascii="Verdana" w:hAnsi="Verdana" w:cs="Times New Roman"/>
          <w:sz w:val="20"/>
          <w:szCs w:val="20"/>
        </w:rPr>
        <w:t xml:space="preserve">Al respecto, </w:t>
      </w:r>
      <w:r w:rsidR="008F3417" w:rsidRPr="008D6D6A">
        <w:rPr>
          <w:rFonts w:ascii="Verdana" w:hAnsi="Verdana" w:cs="Times New Roman"/>
          <w:sz w:val="20"/>
          <w:szCs w:val="20"/>
        </w:rPr>
        <w:t>¿</w:t>
      </w:r>
      <w:r w:rsidR="0004095C" w:rsidRPr="008D6D6A">
        <w:rPr>
          <w:rFonts w:ascii="Verdana" w:hAnsi="Verdana" w:cs="Times New Roman"/>
          <w:sz w:val="20"/>
          <w:szCs w:val="20"/>
        </w:rPr>
        <w:t>puede el</w:t>
      </w:r>
      <w:r w:rsidR="0088625B" w:rsidRPr="008D6D6A">
        <w:rPr>
          <w:rFonts w:ascii="Verdana" w:hAnsi="Verdana" w:cs="Times New Roman"/>
          <w:sz w:val="20"/>
          <w:szCs w:val="20"/>
        </w:rPr>
        <w:t xml:space="preserve"> tribunal arbitral </w:t>
      </w:r>
      <w:r w:rsidR="0004095C" w:rsidRPr="008D6D6A">
        <w:rPr>
          <w:rFonts w:ascii="Verdana" w:hAnsi="Verdana" w:cs="Times New Roman"/>
          <w:sz w:val="20"/>
          <w:szCs w:val="20"/>
        </w:rPr>
        <w:t xml:space="preserve">rechazar la determinación que respecto a la confidencialidad de la información pueda </w:t>
      </w:r>
      <w:r w:rsidR="008F3417" w:rsidRPr="008D6D6A">
        <w:rPr>
          <w:rFonts w:ascii="Verdana" w:hAnsi="Verdana" w:cs="Times New Roman"/>
          <w:sz w:val="20"/>
          <w:szCs w:val="20"/>
        </w:rPr>
        <w:t xml:space="preserve">hacer el Estado demandado? Consideramos </w:t>
      </w:r>
      <w:r w:rsidR="004F4078" w:rsidRPr="008D6D6A">
        <w:rPr>
          <w:rFonts w:ascii="Verdana" w:hAnsi="Verdana" w:cs="Times New Roman"/>
          <w:sz w:val="20"/>
          <w:szCs w:val="20"/>
        </w:rPr>
        <w:t>que</w:t>
      </w:r>
      <w:r w:rsidR="008F3417" w:rsidRPr="008D6D6A">
        <w:rPr>
          <w:rFonts w:ascii="Verdana" w:hAnsi="Verdana" w:cs="Times New Roman"/>
          <w:sz w:val="20"/>
          <w:szCs w:val="20"/>
        </w:rPr>
        <w:t xml:space="preserve"> </w:t>
      </w:r>
      <w:r w:rsidR="0088625B" w:rsidRPr="008D6D6A">
        <w:rPr>
          <w:rFonts w:ascii="Verdana" w:hAnsi="Verdana" w:cs="Times New Roman"/>
          <w:sz w:val="20"/>
          <w:szCs w:val="20"/>
        </w:rPr>
        <w:t>si la información se presenta</w:t>
      </w:r>
      <w:r w:rsidR="00CC54EF" w:rsidRPr="008D6D6A">
        <w:rPr>
          <w:rFonts w:ascii="Verdana" w:hAnsi="Verdana" w:cs="Times New Roman"/>
          <w:sz w:val="20"/>
          <w:szCs w:val="20"/>
        </w:rPr>
        <w:t xml:space="preserve"> al tribunal</w:t>
      </w:r>
      <w:r w:rsidR="00367FBA" w:rsidRPr="008D6D6A">
        <w:rPr>
          <w:rFonts w:ascii="Verdana" w:hAnsi="Verdana" w:cs="Times New Roman"/>
          <w:sz w:val="20"/>
          <w:szCs w:val="20"/>
        </w:rPr>
        <w:t>, éste</w:t>
      </w:r>
      <w:r w:rsidR="004F4078" w:rsidRPr="008D6D6A">
        <w:rPr>
          <w:rFonts w:ascii="Verdana" w:hAnsi="Verdana" w:cs="Times New Roman"/>
          <w:sz w:val="20"/>
          <w:szCs w:val="20"/>
        </w:rPr>
        <w:t xml:space="preserve"> podría rechazar dicha petición, siempre que el Derecho aplicable al arbitraje así lo permita</w:t>
      </w:r>
      <w:r w:rsidR="00F2487D" w:rsidRPr="008D6D6A">
        <w:rPr>
          <w:rStyle w:val="Refdenotaalpie"/>
          <w:rFonts w:ascii="Verdana" w:hAnsi="Verdana" w:cs="Times New Roman"/>
          <w:sz w:val="20"/>
          <w:szCs w:val="20"/>
        </w:rPr>
        <w:footnoteReference w:id="129"/>
      </w:r>
      <w:r w:rsidR="00F2487D" w:rsidRPr="008D6D6A">
        <w:rPr>
          <w:rFonts w:ascii="Verdana" w:hAnsi="Verdana" w:cs="Times New Roman"/>
          <w:sz w:val="20"/>
          <w:szCs w:val="20"/>
        </w:rPr>
        <w:t>, siendo responsa</w:t>
      </w:r>
      <w:r w:rsidR="00E16BAE" w:rsidRPr="008D6D6A">
        <w:rPr>
          <w:rFonts w:ascii="Verdana" w:hAnsi="Verdana" w:cs="Times New Roman"/>
          <w:sz w:val="20"/>
          <w:szCs w:val="20"/>
        </w:rPr>
        <w:t xml:space="preserve">bilidad del Estado demandado </w:t>
      </w:r>
      <w:r w:rsidR="00F2487D" w:rsidRPr="008D6D6A">
        <w:rPr>
          <w:rFonts w:ascii="Verdana" w:hAnsi="Verdana" w:cs="Times New Roman"/>
          <w:sz w:val="20"/>
          <w:szCs w:val="20"/>
        </w:rPr>
        <w:t>haber tomado las medidas necesarias</w:t>
      </w:r>
      <w:r w:rsidR="004F4078" w:rsidRPr="008D6D6A">
        <w:rPr>
          <w:rFonts w:ascii="Verdana" w:hAnsi="Verdana" w:cs="Times New Roman"/>
          <w:sz w:val="20"/>
          <w:szCs w:val="20"/>
        </w:rPr>
        <w:t xml:space="preserve"> </w:t>
      </w:r>
      <w:r w:rsidR="00CC54EF" w:rsidRPr="008D6D6A">
        <w:rPr>
          <w:rFonts w:ascii="Verdana" w:hAnsi="Verdana" w:cs="Times New Roman"/>
          <w:sz w:val="20"/>
          <w:szCs w:val="20"/>
        </w:rPr>
        <w:t>para proteg</w:t>
      </w:r>
      <w:r w:rsidR="00E16BAE" w:rsidRPr="008D6D6A">
        <w:rPr>
          <w:rFonts w:ascii="Verdana" w:hAnsi="Verdana" w:cs="Times New Roman"/>
          <w:sz w:val="20"/>
          <w:szCs w:val="20"/>
        </w:rPr>
        <w:t xml:space="preserve">er </w:t>
      </w:r>
      <w:r w:rsidR="00F2487D" w:rsidRPr="008D6D6A">
        <w:rPr>
          <w:rFonts w:ascii="Verdana" w:hAnsi="Verdana" w:cs="Times New Roman"/>
          <w:sz w:val="20"/>
          <w:szCs w:val="20"/>
        </w:rPr>
        <w:t xml:space="preserve">de </w:t>
      </w:r>
      <w:r w:rsidR="00E16BAE" w:rsidRPr="008D6D6A">
        <w:rPr>
          <w:rFonts w:ascii="Verdana" w:hAnsi="Verdana" w:cs="Times New Roman"/>
          <w:sz w:val="20"/>
          <w:szCs w:val="20"/>
        </w:rPr>
        <w:t xml:space="preserve">la </w:t>
      </w:r>
      <w:r w:rsidR="00F2487D" w:rsidRPr="008D6D6A">
        <w:rPr>
          <w:rFonts w:ascii="Verdana" w:hAnsi="Verdana" w:cs="Times New Roman"/>
          <w:sz w:val="20"/>
          <w:szCs w:val="20"/>
        </w:rPr>
        <w:t>publicidad</w:t>
      </w:r>
      <w:r w:rsidR="00E16BAE" w:rsidRPr="008D6D6A">
        <w:rPr>
          <w:rFonts w:ascii="Verdana" w:hAnsi="Verdana" w:cs="Times New Roman"/>
          <w:sz w:val="20"/>
          <w:szCs w:val="20"/>
        </w:rPr>
        <w:t xml:space="preserve"> la información</w:t>
      </w:r>
      <w:r w:rsidR="00CC54EF" w:rsidRPr="008D6D6A">
        <w:rPr>
          <w:rFonts w:ascii="Verdana" w:hAnsi="Verdana" w:cs="Times New Roman"/>
          <w:sz w:val="20"/>
          <w:szCs w:val="20"/>
        </w:rPr>
        <w:t xml:space="preserve">. </w:t>
      </w:r>
      <w:r w:rsidR="00243896" w:rsidRPr="008D6D6A">
        <w:rPr>
          <w:rFonts w:ascii="Verdana" w:hAnsi="Verdana" w:cs="Times New Roman"/>
          <w:sz w:val="20"/>
          <w:szCs w:val="20"/>
        </w:rPr>
        <w:t xml:space="preserve">De este modo se impide </w:t>
      </w:r>
      <w:r w:rsidR="00F2487D" w:rsidRPr="008D6D6A">
        <w:rPr>
          <w:rFonts w:ascii="Verdana" w:hAnsi="Verdana" w:cs="Times New Roman"/>
          <w:sz w:val="20"/>
          <w:szCs w:val="20"/>
        </w:rPr>
        <w:t xml:space="preserve">que los </w:t>
      </w:r>
      <w:r w:rsidR="00CC54EF" w:rsidRPr="008D6D6A">
        <w:rPr>
          <w:rFonts w:ascii="Verdana" w:hAnsi="Verdana" w:cs="Times New Roman"/>
          <w:sz w:val="20"/>
          <w:szCs w:val="20"/>
        </w:rPr>
        <w:t xml:space="preserve">Estados demandados </w:t>
      </w:r>
      <w:r w:rsidR="00F2487D" w:rsidRPr="008D6D6A">
        <w:rPr>
          <w:rFonts w:ascii="Verdana" w:hAnsi="Verdana" w:cs="Times New Roman"/>
          <w:sz w:val="20"/>
          <w:szCs w:val="20"/>
        </w:rPr>
        <w:t xml:space="preserve">hagan un uso indebido de la protección que les </w:t>
      </w:r>
      <w:r w:rsidR="00F77700" w:rsidRPr="008D6D6A">
        <w:rPr>
          <w:rFonts w:ascii="Verdana" w:hAnsi="Verdana" w:cs="Times New Roman"/>
          <w:sz w:val="20"/>
          <w:szCs w:val="20"/>
        </w:rPr>
        <w:t>brinda</w:t>
      </w:r>
      <w:r w:rsidR="00F2487D" w:rsidRPr="008D6D6A">
        <w:rPr>
          <w:rFonts w:ascii="Verdana" w:hAnsi="Verdana" w:cs="Times New Roman"/>
          <w:sz w:val="20"/>
          <w:szCs w:val="20"/>
        </w:rPr>
        <w:t xml:space="preserve"> el Reglamento respe</w:t>
      </w:r>
      <w:r w:rsidR="00234ED5" w:rsidRPr="008D6D6A">
        <w:rPr>
          <w:rFonts w:ascii="Verdana" w:hAnsi="Verdana" w:cs="Times New Roman"/>
          <w:sz w:val="20"/>
          <w:szCs w:val="20"/>
        </w:rPr>
        <w:t>c</w:t>
      </w:r>
      <w:r w:rsidR="00B33998">
        <w:rPr>
          <w:rFonts w:ascii="Verdana" w:hAnsi="Verdana" w:cs="Times New Roman"/>
          <w:sz w:val="20"/>
          <w:szCs w:val="20"/>
        </w:rPr>
        <w:t>to de</w:t>
      </w:r>
      <w:r w:rsidR="00F2487D" w:rsidRPr="008D6D6A">
        <w:rPr>
          <w:rFonts w:ascii="Verdana" w:hAnsi="Verdana" w:cs="Times New Roman"/>
          <w:sz w:val="20"/>
          <w:szCs w:val="20"/>
        </w:rPr>
        <w:t xml:space="preserve"> la protección de la información. </w:t>
      </w:r>
    </w:p>
    <w:p w:rsidR="005A50BE" w:rsidRDefault="005A50BE" w:rsidP="006D3AD5">
      <w:pPr>
        <w:pStyle w:val="Contenidodelatabla"/>
        <w:spacing w:line="240" w:lineRule="auto"/>
        <w:rPr>
          <w:rFonts w:ascii="Times New Roman" w:hAnsi="Times New Roman" w:cs="Times New Roman"/>
          <w:sz w:val="24"/>
          <w:szCs w:val="24"/>
        </w:rPr>
      </w:pPr>
    </w:p>
    <w:p w:rsidR="00914E66" w:rsidRPr="008D6D6A" w:rsidRDefault="00E0258A" w:rsidP="006D3AD5">
      <w:pPr>
        <w:pStyle w:val="Contenidodelatabla"/>
        <w:spacing w:line="240" w:lineRule="auto"/>
        <w:ind w:firstLine="0"/>
        <w:outlineLvl w:val="2"/>
        <w:rPr>
          <w:rFonts w:ascii="Verdana" w:hAnsi="Verdana" w:cs="Times New Roman"/>
          <w:sz w:val="20"/>
          <w:szCs w:val="20"/>
        </w:rPr>
      </w:pPr>
      <w:bookmarkStart w:id="59" w:name="_Toc536741929"/>
      <w:bookmarkStart w:id="60" w:name="_Toc1224451"/>
      <w:r w:rsidRPr="008D6D6A">
        <w:rPr>
          <w:rFonts w:ascii="Verdana" w:hAnsi="Verdana" w:cs="Times New Roman"/>
          <w:b/>
          <w:sz w:val="20"/>
          <w:szCs w:val="20"/>
        </w:rPr>
        <w:t>4.7.2</w:t>
      </w:r>
      <w:r w:rsidR="00914E66" w:rsidRPr="008D6D6A">
        <w:rPr>
          <w:rFonts w:ascii="Verdana" w:hAnsi="Verdana" w:cs="Times New Roman"/>
          <w:b/>
          <w:sz w:val="20"/>
          <w:szCs w:val="20"/>
        </w:rPr>
        <w:t xml:space="preserve"> </w:t>
      </w:r>
      <w:r w:rsidR="00E540C9" w:rsidRPr="008D6D6A">
        <w:rPr>
          <w:rFonts w:ascii="Verdana" w:hAnsi="Verdana" w:cs="Times New Roman"/>
          <w:b/>
          <w:sz w:val="20"/>
          <w:szCs w:val="20"/>
        </w:rPr>
        <w:t>I</w:t>
      </w:r>
      <w:r w:rsidR="00914E66" w:rsidRPr="008D6D6A">
        <w:rPr>
          <w:rFonts w:ascii="Verdana" w:hAnsi="Verdana" w:cs="Times New Roman"/>
          <w:b/>
          <w:sz w:val="20"/>
          <w:szCs w:val="20"/>
        </w:rPr>
        <w:t>ntegridad del proceso arbitral.</w:t>
      </w:r>
      <w:bookmarkEnd w:id="59"/>
      <w:bookmarkEnd w:id="60"/>
    </w:p>
    <w:p w:rsidR="002F09F0" w:rsidRPr="008D6D6A" w:rsidRDefault="00F23148"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Con una simple lectura de l</w:t>
      </w:r>
      <w:r w:rsidR="00D370E8" w:rsidRPr="008D6D6A">
        <w:rPr>
          <w:rFonts w:ascii="Verdana" w:hAnsi="Verdana" w:cs="Times New Roman"/>
          <w:sz w:val="20"/>
          <w:szCs w:val="20"/>
        </w:rPr>
        <w:t xml:space="preserve">os preceptos </w:t>
      </w:r>
      <w:r w:rsidR="00F42B6F">
        <w:rPr>
          <w:rFonts w:ascii="Verdana" w:hAnsi="Verdana" w:cs="Times New Roman"/>
          <w:sz w:val="20"/>
          <w:szCs w:val="20"/>
        </w:rPr>
        <w:t>que nos ocupa</w:t>
      </w:r>
      <w:r w:rsidR="00D370E8" w:rsidRPr="008D6D6A">
        <w:rPr>
          <w:rFonts w:ascii="Verdana" w:hAnsi="Verdana" w:cs="Times New Roman"/>
          <w:sz w:val="20"/>
          <w:szCs w:val="20"/>
        </w:rPr>
        <w:t>,</w:t>
      </w:r>
      <w:r w:rsidRPr="008D6D6A">
        <w:rPr>
          <w:rFonts w:ascii="Verdana" w:hAnsi="Verdana" w:cs="Times New Roman"/>
          <w:sz w:val="20"/>
          <w:szCs w:val="20"/>
        </w:rPr>
        <w:t xml:space="preserve"> resulta sencillo poder comprender la escueta noción que respecto al concepto de integridad del procedimiento arbitral establece el Reglamento sobre la Transparencia</w:t>
      </w:r>
      <w:r w:rsidR="00BB2C9A" w:rsidRPr="008D6D6A">
        <w:rPr>
          <w:rFonts w:ascii="Verdana" w:hAnsi="Verdana" w:cs="Times New Roman"/>
          <w:sz w:val="20"/>
          <w:szCs w:val="20"/>
        </w:rPr>
        <w:t>, ceñido</w:t>
      </w:r>
      <w:r w:rsidR="009F6DAF" w:rsidRPr="008D6D6A">
        <w:rPr>
          <w:rFonts w:ascii="Verdana" w:hAnsi="Verdana" w:cs="Times New Roman"/>
          <w:sz w:val="20"/>
          <w:szCs w:val="20"/>
        </w:rPr>
        <w:t xml:space="preserve"> </w:t>
      </w:r>
      <w:r w:rsidR="00F42B6F">
        <w:rPr>
          <w:rFonts w:ascii="Verdana" w:hAnsi="Verdana" w:cs="Times New Roman"/>
          <w:sz w:val="20"/>
          <w:szCs w:val="20"/>
        </w:rPr>
        <w:t xml:space="preserve">únicamente </w:t>
      </w:r>
      <w:r w:rsidR="009F6DAF" w:rsidRPr="008D6D6A">
        <w:rPr>
          <w:rFonts w:ascii="Verdana" w:hAnsi="Verdana" w:cs="Times New Roman"/>
          <w:sz w:val="20"/>
          <w:szCs w:val="20"/>
        </w:rPr>
        <w:t>a la publicación de la información.</w:t>
      </w:r>
      <w:r w:rsidRPr="008D6D6A">
        <w:rPr>
          <w:rFonts w:ascii="Verdana" w:hAnsi="Verdana" w:cs="Times New Roman"/>
          <w:sz w:val="20"/>
          <w:szCs w:val="20"/>
        </w:rPr>
        <w:t xml:space="preserve"> </w:t>
      </w:r>
      <w:r w:rsidR="009F6DAF" w:rsidRPr="008D6D6A">
        <w:rPr>
          <w:rFonts w:ascii="Verdana" w:hAnsi="Verdana" w:cs="Times New Roman"/>
          <w:sz w:val="20"/>
          <w:szCs w:val="20"/>
        </w:rPr>
        <w:t xml:space="preserve">Sin embargo, </w:t>
      </w:r>
      <w:r w:rsidR="00442B1A" w:rsidRPr="008D6D6A">
        <w:rPr>
          <w:rFonts w:ascii="Verdana" w:hAnsi="Verdana" w:cs="Times New Roman"/>
          <w:sz w:val="20"/>
          <w:szCs w:val="20"/>
        </w:rPr>
        <w:t>u</w:t>
      </w:r>
      <w:r w:rsidR="002F09F0" w:rsidRPr="008D6D6A">
        <w:rPr>
          <w:rFonts w:ascii="Verdana" w:hAnsi="Verdana" w:cs="Times New Roman"/>
          <w:sz w:val="20"/>
          <w:szCs w:val="20"/>
        </w:rPr>
        <w:t>na de</w:t>
      </w:r>
      <w:r w:rsidR="00D370E8" w:rsidRPr="008D6D6A">
        <w:rPr>
          <w:rFonts w:ascii="Verdana" w:hAnsi="Verdana" w:cs="Times New Roman"/>
          <w:sz w:val="20"/>
          <w:szCs w:val="20"/>
        </w:rPr>
        <w:t xml:space="preserve"> las obligaciones básicas que</w:t>
      </w:r>
      <w:r w:rsidR="002F09F0" w:rsidRPr="008D6D6A">
        <w:rPr>
          <w:rFonts w:ascii="Verdana" w:hAnsi="Verdana" w:cs="Times New Roman"/>
          <w:sz w:val="20"/>
          <w:szCs w:val="20"/>
        </w:rPr>
        <w:t xml:space="preserve"> asiste al tribunal arbitral es dictar un laudo que sea ejecutable, para lo cual, entre otras cosas, resulta imprescindible que e</w:t>
      </w:r>
      <w:r w:rsidR="00C26689" w:rsidRPr="008D6D6A">
        <w:rPr>
          <w:rFonts w:ascii="Verdana" w:hAnsi="Verdana" w:cs="Times New Roman"/>
          <w:sz w:val="20"/>
          <w:szCs w:val="20"/>
        </w:rPr>
        <w:t>l proceso arbitral se celebre</w:t>
      </w:r>
      <w:r w:rsidR="002F09F0" w:rsidRPr="008D6D6A">
        <w:rPr>
          <w:rFonts w:ascii="Verdana" w:hAnsi="Verdana" w:cs="Times New Roman"/>
          <w:sz w:val="20"/>
          <w:szCs w:val="20"/>
        </w:rPr>
        <w:t xml:space="preserve"> cumpliéndose las normas del debido proceso</w:t>
      </w:r>
      <w:r w:rsidR="00500694" w:rsidRPr="008D6D6A">
        <w:rPr>
          <w:rStyle w:val="Refdenotaalpie"/>
          <w:rFonts w:ascii="Verdana" w:hAnsi="Verdana" w:cs="Times New Roman"/>
          <w:sz w:val="20"/>
          <w:szCs w:val="20"/>
        </w:rPr>
        <w:footnoteReference w:id="130"/>
      </w:r>
      <w:r w:rsidR="002F09F0" w:rsidRPr="008D6D6A">
        <w:rPr>
          <w:rFonts w:ascii="Verdana" w:hAnsi="Verdana" w:cs="Times New Roman"/>
          <w:sz w:val="20"/>
          <w:szCs w:val="20"/>
        </w:rPr>
        <w:t xml:space="preserve"> o </w:t>
      </w:r>
      <w:r w:rsidR="002F09F0" w:rsidRPr="008D6D6A">
        <w:rPr>
          <w:rFonts w:ascii="Verdana" w:hAnsi="Verdana" w:cs="Times New Roman"/>
          <w:i/>
          <w:sz w:val="20"/>
          <w:szCs w:val="20"/>
        </w:rPr>
        <w:t>due process</w:t>
      </w:r>
      <w:r w:rsidR="002F09F0" w:rsidRPr="008D6D6A">
        <w:rPr>
          <w:rFonts w:ascii="Verdana" w:hAnsi="Verdana" w:cs="Times New Roman"/>
          <w:sz w:val="20"/>
          <w:szCs w:val="20"/>
        </w:rPr>
        <w:t xml:space="preserve"> </w:t>
      </w:r>
      <w:r w:rsidR="004D2DA0" w:rsidRPr="008D6D6A">
        <w:rPr>
          <w:rFonts w:ascii="Verdana" w:hAnsi="Verdana" w:cs="Times New Roman"/>
          <w:sz w:val="20"/>
          <w:szCs w:val="20"/>
        </w:rPr>
        <w:t xml:space="preserve">en todos los aspectos del procedimiento, cualesquiera </w:t>
      </w:r>
      <w:r w:rsidR="004D2DA0" w:rsidRPr="008D6D6A">
        <w:rPr>
          <w:rFonts w:ascii="Verdana" w:hAnsi="Verdana" w:cs="Times New Roman"/>
          <w:sz w:val="20"/>
          <w:szCs w:val="20"/>
        </w:rPr>
        <w:lastRenderedPageBreak/>
        <w:t>sean las reglas que deban aplicar</w:t>
      </w:r>
      <w:r w:rsidR="00372D87" w:rsidRPr="008D6D6A">
        <w:rPr>
          <w:rFonts w:ascii="Verdana" w:hAnsi="Verdana" w:cs="Times New Roman"/>
          <w:sz w:val="20"/>
          <w:szCs w:val="20"/>
        </w:rPr>
        <w:t>se</w:t>
      </w:r>
      <w:r w:rsidR="002F09F0" w:rsidRPr="008D6D6A">
        <w:rPr>
          <w:rFonts w:ascii="Verdana" w:hAnsi="Verdana" w:cs="Times New Roman"/>
          <w:sz w:val="20"/>
          <w:szCs w:val="20"/>
        </w:rPr>
        <w:t>.</w:t>
      </w:r>
      <w:r w:rsidRPr="008D6D6A">
        <w:rPr>
          <w:rFonts w:ascii="Verdana" w:hAnsi="Verdana" w:cs="Times New Roman"/>
          <w:sz w:val="20"/>
          <w:szCs w:val="20"/>
        </w:rPr>
        <w:t xml:space="preserve">  </w:t>
      </w:r>
      <w:r w:rsidR="00F42B6F">
        <w:rPr>
          <w:rFonts w:ascii="Verdana" w:hAnsi="Verdana" w:cs="Times New Roman"/>
          <w:sz w:val="20"/>
          <w:szCs w:val="20"/>
        </w:rPr>
        <w:t>Así pues</w:t>
      </w:r>
      <w:r w:rsidR="004D2DA0" w:rsidRPr="008D6D6A">
        <w:rPr>
          <w:rFonts w:ascii="Verdana" w:hAnsi="Verdana" w:cs="Times New Roman"/>
          <w:sz w:val="20"/>
          <w:szCs w:val="20"/>
        </w:rPr>
        <w:t xml:space="preserve">, </w:t>
      </w:r>
      <w:r w:rsidR="009F6DAF" w:rsidRPr="008D6D6A">
        <w:rPr>
          <w:rFonts w:ascii="Verdana" w:hAnsi="Verdana" w:cs="Times New Roman"/>
          <w:sz w:val="20"/>
          <w:szCs w:val="20"/>
        </w:rPr>
        <w:t>en ausencia de</w:t>
      </w:r>
      <w:r w:rsidR="00372D87" w:rsidRPr="008D6D6A">
        <w:rPr>
          <w:rFonts w:ascii="Verdana" w:hAnsi="Verdana" w:cs="Times New Roman"/>
          <w:sz w:val="20"/>
          <w:szCs w:val="20"/>
        </w:rPr>
        <w:t xml:space="preserve"> </w:t>
      </w:r>
      <w:r w:rsidR="00D370E8" w:rsidRPr="008D6D6A">
        <w:rPr>
          <w:rFonts w:ascii="Verdana" w:hAnsi="Verdana" w:cs="Times New Roman"/>
          <w:sz w:val="20"/>
          <w:szCs w:val="20"/>
        </w:rPr>
        <w:t>un concepto preciso de</w:t>
      </w:r>
      <w:r w:rsidR="00372D87" w:rsidRPr="008D6D6A">
        <w:rPr>
          <w:rFonts w:ascii="Verdana" w:hAnsi="Verdana" w:cs="Times New Roman"/>
          <w:sz w:val="20"/>
          <w:szCs w:val="20"/>
        </w:rPr>
        <w:t xml:space="preserve"> integridad del proceso arbitral</w:t>
      </w:r>
      <w:r w:rsidR="006036CF" w:rsidRPr="008D6D6A">
        <w:rPr>
          <w:rFonts w:ascii="Verdana" w:hAnsi="Verdana" w:cs="Times New Roman"/>
          <w:sz w:val="20"/>
          <w:szCs w:val="20"/>
        </w:rPr>
        <w:t>,</w:t>
      </w:r>
      <w:r w:rsidR="00CF7148" w:rsidRPr="008D6D6A">
        <w:rPr>
          <w:rFonts w:ascii="Verdana" w:hAnsi="Verdana" w:cs="Times New Roman"/>
          <w:sz w:val="20"/>
          <w:szCs w:val="20"/>
        </w:rPr>
        <w:t xml:space="preserve"> </w:t>
      </w:r>
      <w:r w:rsidR="006036CF" w:rsidRPr="008D6D6A">
        <w:rPr>
          <w:rFonts w:ascii="Verdana" w:hAnsi="Verdana" w:cs="Times New Roman"/>
          <w:sz w:val="20"/>
          <w:szCs w:val="20"/>
        </w:rPr>
        <w:t>c</w:t>
      </w:r>
      <w:r w:rsidR="00CF7148" w:rsidRPr="008D6D6A">
        <w:rPr>
          <w:rFonts w:ascii="Verdana" w:hAnsi="Verdana" w:cs="Times New Roman"/>
          <w:sz w:val="20"/>
          <w:szCs w:val="20"/>
        </w:rPr>
        <w:t>onsideramos que</w:t>
      </w:r>
      <w:r w:rsidR="00BB2C9A" w:rsidRPr="008D6D6A">
        <w:rPr>
          <w:rFonts w:ascii="Verdana" w:hAnsi="Verdana" w:cs="Times New Roman"/>
          <w:sz w:val="20"/>
          <w:szCs w:val="20"/>
        </w:rPr>
        <w:t xml:space="preserve">, </w:t>
      </w:r>
      <w:r w:rsidR="009F6DAF" w:rsidRPr="008D6D6A">
        <w:rPr>
          <w:rFonts w:ascii="Verdana" w:hAnsi="Verdana" w:cs="Times New Roman"/>
          <w:sz w:val="20"/>
          <w:szCs w:val="20"/>
        </w:rPr>
        <w:t>en un sentido amplio,</w:t>
      </w:r>
      <w:r w:rsidR="006036CF" w:rsidRPr="008D6D6A">
        <w:rPr>
          <w:rFonts w:ascii="Verdana" w:hAnsi="Verdana" w:cs="Times New Roman"/>
          <w:sz w:val="20"/>
          <w:szCs w:val="20"/>
        </w:rPr>
        <w:t xml:space="preserve"> dicha noción</w:t>
      </w:r>
      <w:r w:rsidR="009F6DAF" w:rsidRPr="008D6D6A">
        <w:rPr>
          <w:rFonts w:ascii="Verdana" w:hAnsi="Verdana" w:cs="Times New Roman"/>
          <w:sz w:val="20"/>
          <w:szCs w:val="20"/>
        </w:rPr>
        <w:t xml:space="preserve"> se refiere a</w:t>
      </w:r>
      <w:r w:rsidR="004D2DA0" w:rsidRPr="008D6D6A">
        <w:rPr>
          <w:rFonts w:ascii="Verdana" w:hAnsi="Verdana" w:cs="Times New Roman"/>
          <w:sz w:val="20"/>
          <w:szCs w:val="20"/>
        </w:rPr>
        <w:t xml:space="preserve">l conjunto de principios </w:t>
      </w:r>
      <w:r w:rsidR="00D172A7" w:rsidRPr="008D6D6A">
        <w:rPr>
          <w:rFonts w:ascii="Verdana" w:hAnsi="Verdana" w:cs="Times New Roman"/>
          <w:sz w:val="20"/>
          <w:szCs w:val="20"/>
        </w:rPr>
        <w:t xml:space="preserve">que sustentan </w:t>
      </w:r>
      <w:r w:rsidR="006036CF" w:rsidRPr="008D6D6A">
        <w:rPr>
          <w:rFonts w:ascii="Verdana" w:hAnsi="Verdana" w:cs="Times New Roman"/>
          <w:sz w:val="20"/>
          <w:szCs w:val="20"/>
        </w:rPr>
        <w:t>dicho</w:t>
      </w:r>
      <w:r w:rsidR="00D172A7" w:rsidRPr="008D6D6A">
        <w:rPr>
          <w:rFonts w:ascii="Verdana" w:hAnsi="Verdana" w:cs="Times New Roman"/>
          <w:sz w:val="20"/>
          <w:szCs w:val="20"/>
        </w:rPr>
        <w:t xml:space="preserve"> proceso </w:t>
      </w:r>
      <w:r w:rsidR="004D2DA0" w:rsidRPr="008D6D6A">
        <w:rPr>
          <w:rFonts w:ascii="Verdana" w:hAnsi="Verdana" w:cs="Times New Roman"/>
          <w:sz w:val="20"/>
          <w:szCs w:val="20"/>
        </w:rPr>
        <w:t>y su normal cumplimiento</w:t>
      </w:r>
      <w:r w:rsidR="00342D6F" w:rsidRPr="008D6D6A">
        <w:rPr>
          <w:rFonts w:ascii="Verdana" w:hAnsi="Verdana" w:cs="Times New Roman"/>
          <w:sz w:val="20"/>
          <w:szCs w:val="20"/>
        </w:rPr>
        <w:t>, encontrándose, entre otros</w:t>
      </w:r>
      <w:r w:rsidR="00442B1A" w:rsidRPr="008D6D6A">
        <w:rPr>
          <w:rFonts w:ascii="Verdana" w:hAnsi="Verdana" w:cs="Times New Roman"/>
          <w:sz w:val="20"/>
          <w:szCs w:val="20"/>
        </w:rPr>
        <w:t>,</w:t>
      </w:r>
      <w:r w:rsidR="00D172A7" w:rsidRPr="008D6D6A">
        <w:rPr>
          <w:rFonts w:ascii="Verdana" w:hAnsi="Verdana" w:cs="Times New Roman"/>
          <w:sz w:val="20"/>
          <w:szCs w:val="20"/>
        </w:rPr>
        <w:t xml:space="preserve"> el principio de igualdad</w:t>
      </w:r>
      <w:r w:rsidR="00B01AF4" w:rsidRPr="008D6D6A">
        <w:rPr>
          <w:rFonts w:ascii="Verdana" w:hAnsi="Verdana" w:cs="Times New Roman"/>
          <w:sz w:val="20"/>
          <w:szCs w:val="20"/>
        </w:rPr>
        <w:t xml:space="preserve"> de trato</w:t>
      </w:r>
      <w:r w:rsidR="00342D6F" w:rsidRPr="008D6D6A">
        <w:rPr>
          <w:rFonts w:ascii="Verdana" w:hAnsi="Verdana" w:cs="Times New Roman"/>
          <w:sz w:val="20"/>
          <w:szCs w:val="20"/>
        </w:rPr>
        <w:t xml:space="preserve"> y</w:t>
      </w:r>
      <w:r w:rsidR="00010F50" w:rsidRPr="008D6D6A">
        <w:rPr>
          <w:rFonts w:ascii="Verdana" w:hAnsi="Verdana" w:cs="Times New Roman"/>
          <w:sz w:val="20"/>
          <w:szCs w:val="20"/>
        </w:rPr>
        <w:t xml:space="preserve"> audiencia y contradicci</w:t>
      </w:r>
      <w:r w:rsidR="00342D6F" w:rsidRPr="008D6D6A">
        <w:rPr>
          <w:rFonts w:ascii="Verdana" w:hAnsi="Verdana" w:cs="Times New Roman"/>
          <w:sz w:val="20"/>
          <w:szCs w:val="20"/>
        </w:rPr>
        <w:t>ón</w:t>
      </w:r>
      <w:r w:rsidR="00BB2C9A" w:rsidRPr="008D6D6A">
        <w:rPr>
          <w:rFonts w:ascii="Verdana" w:hAnsi="Verdana" w:cs="Times New Roman"/>
          <w:sz w:val="20"/>
          <w:szCs w:val="20"/>
        </w:rPr>
        <w:t>,</w:t>
      </w:r>
      <w:r w:rsidR="00342D6F" w:rsidRPr="008D6D6A">
        <w:rPr>
          <w:rFonts w:ascii="Verdana" w:hAnsi="Verdana" w:cs="Times New Roman"/>
          <w:sz w:val="20"/>
          <w:szCs w:val="20"/>
        </w:rPr>
        <w:t xml:space="preserve"> teniendo en cuenta, a su vez, </w:t>
      </w:r>
      <w:r w:rsidR="00010F50" w:rsidRPr="008D6D6A">
        <w:rPr>
          <w:rFonts w:ascii="Verdana" w:hAnsi="Verdana" w:cs="Times New Roman"/>
          <w:sz w:val="20"/>
          <w:szCs w:val="20"/>
        </w:rPr>
        <w:t xml:space="preserve">la responsabilidad </w:t>
      </w:r>
      <w:r w:rsidR="00342D6F" w:rsidRPr="008D6D6A">
        <w:rPr>
          <w:rFonts w:ascii="Verdana" w:hAnsi="Verdana" w:cs="Times New Roman"/>
          <w:sz w:val="20"/>
          <w:szCs w:val="20"/>
        </w:rPr>
        <w:t xml:space="preserve">que asume </w:t>
      </w:r>
      <w:r w:rsidR="00010F50" w:rsidRPr="008D6D6A">
        <w:rPr>
          <w:rFonts w:ascii="Verdana" w:hAnsi="Verdana" w:cs="Times New Roman"/>
          <w:sz w:val="20"/>
          <w:szCs w:val="20"/>
        </w:rPr>
        <w:t xml:space="preserve">el propio tribunal, </w:t>
      </w:r>
      <w:r w:rsidR="00A6035C" w:rsidRPr="008D6D6A">
        <w:rPr>
          <w:rFonts w:ascii="Verdana" w:hAnsi="Verdana" w:cs="Times New Roman"/>
          <w:sz w:val="20"/>
          <w:szCs w:val="20"/>
        </w:rPr>
        <w:t>no só</w:t>
      </w:r>
      <w:r w:rsidR="00010F50" w:rsidRPr="008D6D6A">
        <w:rPr>
          <w:rFonts w:ascii="Verdana" w:hAnsi="Verdana" w:cs="Times New Roman"/>
          <w:sz w:val="20"/>
          <w:szCs w:val="20"/>
        </w:rPr>
        <w:t xml:space="preserve">lo </w:t>
      </w:r>
      <w:r w:rsidR="00342D6F" w:rsidRPr="008D6D6A">
        <w:rPr>
          <w:rFonts w:ascii="Verdana" w:hAnsi="Verdana" w:cs="Times New Roman"/>
          <w:sz w:val="20"/>
          <w:szCs w:val="20"/>
        </w:rPr>
        <w:t>para con el proceso arbitral</w:t>
      </w:r>
      <w:r w:rsidR="00010F50" w:rsidRPr="008D6D6A">
        <w:rPr>
          <w:rFonts w:ascii="Verdana" w:hAnsi="Verdana" w:cs="Times New Roman"/>
          <w:sz w:val="20"/>
          <w:szCs w:val="20"/>
        </w:rPr>
        <w:t>, sino también hacia las partes sobre cuyos derechos decide</w:t>
      </w:r>
      <w:r w:rsidR="00CF7148" w:rsidRPr="008D6D6A">
        <w:rPr>
          <w:rFonts w:ascii="Verdana" w:hAnsi="Verdana" w:cs="Times New Roman"/>
          <w:sz w:val="20"/>
          <w:szCs w:val="20"/>
        </w:rPr>
        <w:t>n</w:t>
      </w:r>
      <w:r w:rsidR="00F42B6F">
        <w:rPr>
          <w:rFonts w:ascii="Verdana" w:hAnsi="Verdana" w:cs="Times New Roman"/>
          <w:sz w:val="20"/>
          <w:szCs w:val="20"/>
        </w:rPr>
        <w:t>, haci</w:t>
      </w:r>
      <w:r w:rsidR="00010F50" w:rsidRPr="008D6D6A">
        <w:rPr>
          <w:rFonts w:ascii="Verdana" w:hAnsi="Verdana" w:cs="Times New Roman"/>
          <w:sz w:val="20"/>
          <w:szCs w:val="20"/>
        </w:rPr>
        <w:t>a el público y terceras personas que participen en el proceso</w:t>
      </w:r>
      <w:r w:rsidR="00010F50" w:rsidRPr="008D6D6A">
        <w:rPr>
          <w:rStyle w:val="Refdenotaalpie"/>
          <w:rFonts w:ascii="Verdana" w:hAnsi="Verdana" w:cs="Times New Roman"/>
          <w:sz w:val="20"/>
          <w:szCs w:val="20"/>
        </w:rPr>
        <w:footnoteReference w:id="131"/>
      </w:r>
      <w:r w:rsidR="00010F50" w:rsidRPr="008D6D6A">
        <w:rPr>
          <w:rFonts w:ascii="Verdana" w:hAnsi="Verdana" w:cs="Times New Roman"/>
          <w:sz w:val="20"/>
          <w:szCs w:val="20"/>
        </w:rPr>
        <w:t>, observando siempre los altos estándares de conductas</w:t>
      </w:r>
      <w:r w:rsidR="00342D6F" w:rsidRPr="008D6D6A">
        <w:rPr>
          <w:rFonts w:ascii="Verdana" w:hAnsi="Verdana" w:cs="Times New Roman"/>
          <w:sz w:val="20"/>
          <w:szCs w:val="20"/>
        </w:rPr>
        <w:t>.</w:t>
      </w:r>
    </w:p>
    <w:p w:rsidR="00B01368" w:rsidRPr="008D6D6A" w:rsidRDefault="00372D87"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El deber del tribunal arbitral de preservar la integridad del proces</w:t>
      </w:r>
      <w:r w:rsidR="00122587" w:rsidRPr="008D6D6A">
        <w:rPr>
          <w:rFonts w:ascii="Verdana" w:hAnsi="Verdana" w:cs="Times New Roman"/>
          <w:sz w:val="20"/>
          <w:szCs w:val="20"/>
        </w:rPr>
        <w:t>o arbitral no puede estar exento de cumplir los requerimientos de transparencia.</w:t>
      </w:r>
      <w:r w:rsidRPr="008D6D6A">
        <w:rPr>
          <w:rFonts w:ascii="Verdana" w:hAnsi="Verdana" w:cs="Times New Roman"/>
          <w:sz w:val="20"/>
          <w:szCs w:val="20"/>
        </w:rPr>
        <w:t xml:space="preserve"> </w:t>
      </w:r>
      <w:r w:rsidR="00122587" w:rsidRPr="008D6D6A">
        <w:rPr>
          <w:rFonts w:ascii="Verdana" w:hAnsi="Verdana" w:cs="Times New Roman"/>
          <w:sz w:val="20"/>
          <w:szCs w:val="20"/>
        </w:rPr>
        <w:t>E</w:t>
      </w:r>
      <w:r w:rsidRPr="008D6D6A">
        <w:rPr>
          <w:rFonts w:ascii="Verdana" w:hAnsi="Verdana" w:cs="Times New Roman"/>
          <w:sz w:val="20"/>
          <w:szCs w:val="20"/>
        </w:rPr>
        <w:t>s importante que desde el comienzo se clarifiquen las reglas que regirán el proceso, así como el tratamiento que se le debe dar a la información protegida o confidencial, estando en consonancia con lo establecido en el artículo 7.6 del Reglamento sobre la Transparencia</w:t>
      </w:r>
      <w:r w:rsidR="006F25A5" w:rsidRPr="008D6D6A">
        <w:rPr>
          <w:rStyle w:val="Refdenotaalpie"/>
          <w:rFonts w:ascii="Verdana" w:hAnsi="Verdana" w:cs="Times New Roman"/>
          <w:sz w:val="20"/>
          <w:szCs w:val="20"/>
        </w:rPr>
        <w:footnoteReference w:id="132"/>
      </w:r>
      <w:r w:rsidR="00CF7148" w:rsidRPr="008D6D6A">
        <w:rPr>
          <w:rFonts w:ascii="Verdana" w:hAnsi="Verdana" w:cs="Times New Roman"/>
          <w:sz w:val="20"/>
          <w:szCs w:val="20"/>
        </w:rPr>
        <w:t>.</w:t>
      </w:r>
      <w:r w:rsidR="00BB2C9A" w:rsidRPr="008D6D6A">
        <w:rPr>
          <w:rFonts w:ascii="Verdana" w:hAnsi="Verdana" w:cs="Times New Roman"/>
          <w:sz w:val="20"/>
          <w:szCs w:val="20"/>
        </w:rPr>
        <w:t xml:space="preserve"> P</w:t>
      </w:r>
      <w:r w:rsidR="00CF7148" w:rsidRPr="008D6D6A">
        <w:rPr>
          <w:rFonts w:ascii="Verdana" w:hAnsi="Verdana" w:cs="Times New Roman"/>
          <w:sz w:val="20"/>
          <w:szCs w:val="20"/>
        </w:rPr>
        <w:t>ero</w:t>
      </w:r>
      <w:r w:rsidR="00122587" w:rsidRPr="008D6D6A">
        <w:rPr>
          <w:rFonts w:ascii="Verdana" w:hAnsi="Verdana" w:cs="Times New Roman"/>
          <w:sz w:val="20"/>
          <w:szCs w:val="20"/>
        </w:rPr>
        <w:t xml:space="preserve"> una inadecuada</w:t>
      </w:r>
      <w:r w:rsidR="00E560A5" w:rsidRPr="008D6D6A">
        <w:rPr>
          <w:rFonts w:ascii="Verdana" w:hAnsi="Verdana" w:cs="Times New Roman"/>
          <w:sz w:val="20"/>
          <w:szCs w:val="20"/>
        </w:rPr>
        <w:t xml:space="preserve"> interpretación del </w:t>
      </w:r>
      <w:r w:rsidR="00CF7148" w:rsidRPr="008D6D6A">
        <w:rPr>
          <w:rFonts w:ascii="Verdana" w:hAnsi="Verdana" w:cs="Times New Roman"/>
          <w:sz w:val="20"/>
          <w:szCs w:val="20"/>
        </w:rPr>
        <w:t>precepto</w:t>
      </w:r>
      <w:r w:rsidR="00E560A5" w:rsidRPr="008D6D6A">
        <w:rPr>
          <w:rFonts w:ascii="Verdana" w:hAnsi="Verdana" w:cs="Times New Roman"/>
          <w:sz w:val="20"/>
          <w:szCs w:val="20"/>
        </w:rPr>
        <w:t xml:space="preserve"> podría llevar</w:t>
      </w:r>
      <w:r w:rsidR="00956FE1" w:rsidRPr="008D6D6A">
        <w:rPr>
          <w:rFonts w:ascii="Verdana" w:hAnsi="Verdana" w:cs="Times New Roman"/>
          <w:sz w:val="20"/>
          <w:szCs w:val="20"/>
        </w:rPr>
        <w:t>nos</w:t>
      </w:r>
      <w:r w:rsidR="00E560A5" w:rsidRPr="008D6D6A">
        <w:rPr>
          <w:rFonts w:ascii="Verdana" w:hAnsi="Verdana" w:cs="Times New Roman"/>
          <w:sz w:val="20"/>
          <w:szCs w:val="20"/>
        </w:rPr>
        <w:t xml:space="preserve"> a pensar que la integridad del procedimiento</w:t>
      </w:r>
      <w:r w:rsidR="00914E66" w:rsidRPr="008D6D6A">
        <w:rPr>
          <w:rFonts w:ascii="Verdana" w:hAnsi="Verdana" w:cs="Times New Roman"/>
          <w:sz w:val="20"/>
          <w:szCs w:val="20"/>
        </w:rPr>
        <w:t xml:space="preserve"> </w:t>
      </w:r>
      <w:r w:rsidR="00122587" w:rsidRPr="008D6D6A">
        <w:rPr>
          <w:rFonts w:ascii="Verdana" w:hAnsi="Verdana" w:cs="Times New Roman"/>
          <w:sz w:val="20"/>
          <w:szCs w:val="20"/>
        </w:rPr>
        <w:t>entrañaría, precisamente, el peligro</w:t>
      </w:r>
      <w:r w:rsidR="00914E66" w:rsidRPr="008D6D6A">
        <w:rPr>
          <w:rFonts w:ascii="Verdana" w:hAnsi="Verdana" w:cs="Times New Roman"/>
          <w:sz w:val="20"/>
          <w:szCs w:val="20"/>
        </w:rPr>
        <w:t xml:space="preserve"> de socavar</w:t>
      </w:r>
      <w:r w:rsidR="00E560A5" w:rsidRPr="008D6D6A">
        <w:rPr>
          <w:rFonts w:ascii="Verdana" w:hAnsi="Verdana" w:cs="Times New Roman"/>
          <w:sz w:val="20"/>
          <w:szCs w:val="20"/>
        </w:rPr>
        <w:t xml:space="preserve"> to</w:t>
      </w:r>
      <w:r w:rsidR="00F42B6F">
        <w:rPr>
          <w:rFonts w:ascii="Verdana" w:hAnsi="Verdana" w:cs="Times New Roman"/>
          <w:sz w:val="20"/>
          <w:szCs w:val="20"/>
        </w:rPr>
        <w:t>do el propósito del Reglamento:</w:t>
      </w:r>
      <w:r w:rsidR="00956FE1" w:rsidRPr="008D6D6A">
        <w:rPr>
          <w:rFonts w:ascii="Verdana" w:hAnsi="Verdana" w:cs="Times New Roman"/>
          <w:sz w:val="20"/>
          <w:szCs w:val="20"/>
        </w:rPr>
        <w:t xml:space="preserve"> </w:t>
      </w:r>
      <w:r w:rsidR="00914E66" w:rsidRPr="008D6D6A">
        <w:rPr>
          <w:rFonts w:ascii="Verdana" w:hAnsi="Verdana" w:cs="Times New Roman"/>
          <w:sz w:val="20"/>
          <w:szCs w:val="20"/>
        </w:rPr>
        <w:t>la transparencia</w:t>
      </w:r>
      <w:r w:rsidR="00E560A5" w:rsidRPr="008D6D6A">
        <w:rPr>
          <w:rFonts w:ascii="Verdana" w:hAnsi="Verdana" w:cs="Times New Roman"/>
          <w:sz w:val="20"/>
          <w:szCs w:val="20"/>
        </w:rPr>
        <w:t xml:space="preserve"> en el procedimiento arbitral</w:t>
      </w:r>
      <w:r w:rsidR="00956FE1" w:rsidRPr="008D6D6A">
        <w:rPr>
          <w:rFonts w:ascii="Verdana" w:hAnsi="Verdana" w:cs="Times New Roman"/>
          <w:sz w:val="20"/>
          <w:szCs w:val="20"/>
        </w:rPr>
        <w:t xml:space="preserve">. </w:t>
      </w:r>
    </w:p>
    <w:p w:rsidR="00D046ED" w:rsidRPr="008D6D6A" w:rsidRDefault="00185081"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Sin embargo, el propio Reglamento faculta al tribunal arbitral para que por iniciativa propia,</w:t>
      </w:r>
      <w:r w:rsidR="00A6035C" w:rsidRPr="008D6D6A">
        <w:rPr>
          <w:rFonts w:ascii="Verdana" w:hAnsi="Verdana" w:cs="Times New Roman"/>
          <w:sz w:val="20"/>
          <w:szCs w:val="20"/>
        </w:rPr>
        <w:t xml:space="preserve"> o</w:t>
      </w:r>
      <w:r w:rsidRPr="008D6D6A">
        <w:rPr>
          <w:rFonts w:ascii="Verdana" w:hAnsi="Verdana" w:cs="Times New Roman"/>
          <w:sz w:val="20"/>
          <w:szCs w:val="20"/>
        </w:rPr>
        <w:t xml:space="preserve"> a solicitud de una de las partes, pueda tomar las medidas que considere oportunas respecto a la publicación de la información</w:t>
      </w:r>
      <w:r w:rsidR="005A4FB3" w:rsidRPr="008D6D6A">
        <w:rPr>
          <w:rFonts w:ascii="Verdana" w:hAnsi="Verdana" w:cs="Times New Roman"/>
          <w:sz w:val="20"/>
          <w:szCs w:val="20"/>
        </w:rPr>
        <w:t>,</w:t>
      </w:r>
      <w:r w:rsidRPr="008D6D6A">
        <w:rPr>
          <w:rFonts w:ascii="Verdana" w:hAnsi="Verdana" w:cs="Times New Roman"/>
          <w:sz w:val="20"/>
          <w:szCs w:val="20"/>
        </w:rPr>
        <w:t xml:space="preserve"> cuando ésta pudiera </w:t>
      </w:r>
      <w:r w:rsidR="00A6035C" w:rsidRPr="008D6D6A">
        <w:rPr>
          <w:rFonts w:ascii="Verdana" w:hAnsi="Verdana" w:cs="Times New Roman"/>
          <w:sz w:val="20"/>
          <w:szCs w:val="20"/>
        </w:rPr>
        <w:t>ser utilizada por terceras personas</w:t>
      </w:r>
      <w:r w:rsidRPr="008D6D6A">
        <w:rPr>
          <w:rFonts w:ascii="Verdana" w:hAnsi="Verdana" w:cs="Times New Roman"/>
          <w:sz w:val="20"/>
          <w:szCs w:val="20"/>
        </w:rPr>
        <w:t xml:space="preserve"> u otras circunstancias excepcionales que pongan en peligro </w:t>
      </w:r>
      <w:r w:rsidR="00F23148" w:rsidRPr="008D6D6A">
        <w:rPr>
          <w:rFonts w:ascii="Verdana" w:hAnsi="Verdana" w:cs="Times New Roman"/>
          <w:sz w:val="20"/>
          <w:szCs w:val="20"/>
        </w:rPr>
        <w:t>el normal desarrollo del procedimiento</w:t>
      </w:r>
      <w:r w:rsidR="00E560A5" w:rsidRPr="008D6D6A">
        <w:rPr>
          <w:rStyle w:val="Refdenotaalpie"/>
          <w:rFonts w:ascii="Verdana" w:hAnsi="Verdana" w:cs="Times New Roman"/>
          <w:sz w:val="20"/>
          <w:szCs w:val="20"/>
        </w:rPr>
        <w:footnoteReference w:id="133"/>
      </w:r>
      <w:r w:rsidR="007D7CE6" w:rsidRPr="008D6D6A">
        <w:rPr>
          <w:rFonts w:ascii="Verdana" w:hAnsi="Verdana" w:cs="Times New Roman"/>
          <w:sz w:val="20"/>
          <w:szCs w:val="20"/>
        </w:rPr>
        <w:t>,</w:t>
      </w:r>
      <w:r w:rsidR="00BB2C9A" w:rsidRPr="008D6D6A">
        <w:rPr>
          <w:rFonts w:ascii="Verdana" w:hAnsi="Verdana" w:cs="Times New Roman"/>
          <w:sz w:val="20"/>
          <w:szCs w:val="20"/>
        </w:rPr>
        <w:t xml:space="preserve"> </w:t>
      </w:r>
      <w:r w:rsidR="007D7CE6" w:rsidRPr="008D6D6A">
        <w:rPr>
          <w:rFonts w:ascii="Verdana" w:hAnsi="Verdana" w:cs="Times New Roman"/>
          <w:sz w:val="20"/>
          <w:szCs w:val="20"/>
        </w:rPr>
        <w:t>e</w:t>
      </w:r>
      <w:r w:rsidR="00BB2C9A" w:rsidRPr="008D6D6A">
        <w:rPr>
          <w:rFonts w:ascii="Verdana" w:hAnsi="Verdana" w:cs="Times New Roman"/>
          <w:sz w:val="20"/>
          <w:szCs w:val="20"/>
        </w:rPr>
        <w:t>s decir</w:t>
      </w:r>
      <w:r w:rsidR="00B01368" w:rsidRPr="008D6D6A">
        <w:rPr>
          <w:rFonts w:ascii="Verdana" w:hAnsi="Verdana" w:cs="Times New Roman"/>
          <w:sz w:val="20"/>
          <w:szCs w:val="20"/>
        </w:rPr>
        <w:t>, cuando al poner la información a disposición del público, tal publicación pueda obstaculizar la recopilación de pruebas o resultar en la intimidación de las partes, abogados o miembros del Tribunal.</w:t>
      </w:r>
    </w:p>
    <w:p w:rsidR="00251FD3" w:rsidRPr="008D6D6A" w:rsidRDefault="003F66E2"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Está por ver </w:t>
      </w:r>
      <w:r w:rsidR="00914E66" w:rsidRPr="008D6D6A">
        <w:rPr>
          <w:rFonts w:ascii="Verdana" w:hAnsi="Verdana" w:cs="Times New Roman"/>
          <w:sz w:val="20"/>
          <w:szCs w:val="20"/>
        </w:rPr>
        <w:t xml:space="preserve">si el </w:t>
      </w:r>
      <w:r w:rsidRPr="008D6D6A">
        <w:rPr>
          <w:rFonts w:ascii="Verdana" w:hAnsi="Verdana" w:cs="Times New Roman"/>
          <w:sz w:val="20"/>
          <w:szCs w:val="20"/>
        </w:rPr>
        <w:t>oscuro</w:t>
      </w:r>
      <w:r w:rsidR="001E4D2E" w:rsidRPr="008D6D6A">
        <w:rPr>
          <w:rFonts w:ascii="Verdana" w:hAnsi="Verdana" w:cs="Times New Roman"/>
          <w:sz w:val="20"/>
          <w:szCs w:val="20"/>
        </w:rPr>
        <w:t xml:space="preserve"> y vago</w:t>
      </w:r>
      <w:r w:rsidR="00914E66" w:rsidRPr="008D6D6A">
        <w:rPr>
          <w:rFonts w:ascii="Verdana" w:hAnsi="Verdana" w:cs="Times New Roman"/>
          <w:sz w:val="20"/>
          <w:szCs w:val="20"/>
        </w:rPr>
        <w:t xml:space="preserve"> concepto de integridad procesal expres</w:t>
      </w:r>
      <w:r w:rsidR="00752C8F" w:rsidRPr="008D6D6A">
        <w:rPr>
          <w:rFonts w:ascii="Verdana" w:hAnsi="Verdana" w:cs="Times New Roman"/>
          <w:sz w:val="20"/>
          <w:szCs w:val="20"/>
        </w:rPr>
        <w:t xml:space="preserve">ado en </w:t>
      </w:r>
      <w:r w:rsidR="00F738D0" w:rsidRPr="008D6D6A">
        <w:rPr>
          <w:rFonts w:ascii="Verdana" w:hAnsi="Verdana" w:cs="Times New Roman"/>
          <w:sz w:val="20"/>
          <w:szCs w:val="20"/>
        </w:rPr>
        <w:t>las disposiciones</w:t>
      </w:r>
      <w:r w:rsidR="00122587" w:rsidRPr="008D6D6A">
        <w:rPr>
          <w:rFonts w:ascii="Verdana" w:hAnsi="Verdana" w:cs="Times New Roman"/>
          <w:sz w:val="20"/>
          <w:szCs w:val="20"/>
        </w:rPr>
        <w:t>,</w:t>
      </w:r>
      <w:r w:rsidR="00F738D0" w:rsidRPr="008D6D6A">
        <w:rPr>
          <w:rFonts w:ascii="Verdana" w:hAnsi="Verdana" w:cs="Times New Roman"/>
          <w:sz w:val="20"/>
          <w:szCs w:val="20"/>
        </w:rPr>
        <w:t xml:space="preserve"> </w:t>
      </w:r>
      <w:r w:rsidRPr="008D6D6A">
        <w:rPr>
          <w:rFonts w:ascii="Verdana" w:hAnsi="Verdana" w:cs="Times New Roman"/>
          <w:sz w:val="20"/>
          <w:szCs w:val="20"/>
        </w:rPr>
        <w:t xml:space="preserve">tendrá alguna utilidad para resolver las dudas que se plantean los tribunales arbitrales respecto a </w:t>
      </w:r>
      <w:r w:rsidR="00146D96" w:rsidRPr="008D6D6A">
        <w:rPr>
          <w:rFonts w:ascii="Verdana" w:hAnsi="Verdana" w:cs="Times New Roman"/>
          <w:sz w:val="20"/>
          <w:szCs w:val="20"/>
        </w:rPr>
        <w:t xml:space="preserve">ciertos </w:t>
      </w:r>
      <w:r w:rsidRPr="008D6D6A">
        <w:rPr>
          <w:rFonts w:ascii="Verdana" w:hAnsi="Verdana" w:cs="Times New Roman"/>
          <w:sz w:val="20"/>
          <w:szCs w:val="20"/>
        </w:rPr>
        <w:t>problemas relativos a la compatibilidad de la transparencia en las actuaciones arbitrales con la salvaguarda de ciertas garantías procedimentales, por ejemplo</w:t>
      </w:r>
      <w:r w:rsidR="00146D96" w:rsidRPr="008D6D6A">
        <w:rPr>
          <w:rFonts w:ascii="Verdana" w:hAnsi="Verdana" w:cs="Times New Roman"/>
          <w:sz w:val="20"/>
          <w:szCs w:val="20"/>
        </w:rPr>
        <w:t>,</w:t>
      </w:r>
      <w:r w:rsidRPr="008D6D6A">
        <w:rPr>
          <w:rFonts w:ascii="Verdana" w:hAnsi="Verdana" w:cs="Times New Roman"/>
          <w:sz w:val="20"/>
          <w:szCs w:val="20"/>
        </w:rPr>
        <w:t xml:space="preserve"> en materia de prueba, salvaguarda del derecho de defensa</w:t>
      </w:r>
      <w:r w:rsidR="00C3713C" w:rsidRPr="008D6D6A">
        <w:rPr>
          <w:rFonts w:ascii="Verdana" w:hAnsi="Verdana" w:cs="Times New Roman"/>
          <w:sz w:val="20"/>
          <w:szCs w:val="20"/>
        </w:rPr>
        <w:t>,</w:t>
      </w:r>
      <w:r w:rsidRPr="008D6D6A">
        <w:rPr>
          <w:rFonts w:ascii="Verdana" w:hAnsi="Verdana" w:cs="Times New Roman"/>
          <w:sz w:val="20"/>
          <w:szCs w:val="20"/>
        </w:rPr>
        <w:t xml:space="preserve"> etc</w:t>
      </w:r>
      <w:r w:rsidR="00B4525E" w:rsidRPr="008D6D6A">
        <w:rPr>
          <w:rFonts w:ascii="Verdana" w:hAnsi="Verdana" w:cs="Times New Roman"/>
          <w:sz w:val="20"/>
          <w:szCs w:val="20"/>
        </w:rPr>
        <w:t xml:space="preserve">. </w:t>
      </w:r>
      <w:r w:rsidR="00F42B6F">
        <w:rPr>
          <w:rFonts w:ascii="Verdana" w:hAnsi="Verdana" w:cs="Times New Roman"/>
          <w:sz w:val="20"/>
          <w:szCs w:val="20"/>
        </w:rPr>
        <w:t>No creemos que existan</w:t>
      </w:r>
      <w:r w:rsidR="00E4731A" w:rsidRPr="008D6D6A">
        <w:rPr>
          <w:rFonts w:ascii="Verdana" w:hAnsi="Verdana" w:cs="Times New Roman"/>
          <w:sz w:val="20"/>
          <w:szCs w:val="20"/>
        </w:rPr>
        <w:t xml:space="preserve"> razones para ser demasiado optimista a este respecto</w:t>
      </w:r>
      <w:r w:rsidR="00146D96" w:rsidRPr="008D6D6A">
        <w:rPr>
          <w:rFonts w:ascii="Verdana" w:hAnsi="Verdana" w:cs="Times New Roman"/>
          <w:sz w:val="20"/>
          <w:szCs w:val="20"/>
        </w:rPr>
        <w:t>.</w:t>
      </w:r>
    </w:p>
    <w:p w:rsidR="0051071B" w:rsidRDefault="0051071B" w:rsidP="006D3AD5">
      <w:pPr>
        <w:pStyle w:val="Contenidodelatabla"/>
        <w:spacing w:line="240" w:lineRule="auto"/>
        <w:rPr>
          <w:rFonts w:ascii="Times New Roman" w:hAnsi="Times New Roman" w:cs="Times New Roman"/>
          <w:sz w:val="24"/>
          <w:szCs w:val="24"/>
        </w:rPr>
      </w:pPr>
    </w:p>
    <w:p w:rsidR="00AF61E1" w:rsidRPr="008D6D6A" w:rsidRDefault="00D97361" w:rsidP="006D3AD5">
      <w:pPr>
        <w:pStyle w:val="Contenidodelatabla"/>
        <w:spacing w:line="240" w:lineRule="auto"/>
        <w:ind w:firstLine="0"/>
        <w:outlineLvl w:val="1"/>
        <w:rPr>
          <w:rFonts w:ascii="Verdana" w:hAnsi="Verdana" w:cs="Times New Roman"/>
          <w:sz w:val="20"/>
          <w:szCs w:val="20"/>
        </w:rPr>
      </w:pPr>
      <w:bookmarkStart w:id="61" w:name="_Toc536741930"/>
      <w:bookmarkStart w:id="62" w:name="_Toc1224452"/>
      <w:r w:rsidRPr="008D6D6A">
        <w:rPr>
          <w:rFonts w:ascii="Verdana" w:hAnsi="Verdana" w:cs="Times New Roman"/>
          <w:b/>
          <w:sz w:val="20"/>
          <w:szCs w:val="20"/>
        </w:rPr>
        <w:t>4.8</w:t>
      </w:r>
      <w:r w:rsidR="00AF61E1" w:rsidRPr="008D6D6A">
        <w:rPr>
          <w:rFonts w:ascii="Verdana" w:hAnsi="Verdana" w:cs="Times New Roman"/>
          <w:b/>
          <w:sz w:val="20"/>
          <w:szCs w:val="20"/>
        </w:rPr>
        <w:t xml:space="preserve"> Archivo de la información publicada</w:t>
      </w:r>
      <w:r w:rsidR="00AF61E1" w:rsidRPr="008D6D6A">
        <w:rPr>
          <w:rFonts w:ascii="Verdana" w:hAnsi="Verdana" w:cs="Times New Roman"/>
          <w:i/>
          <w:sz w:val="20"/>
          <w:szCs w:val="20"/>
        </w:rPr>
        <w:t>.</w:t>
      </w:r>
      <w:bookmarkEnd w:id="61"/>
      <w:bookmarkEnd w:id="62"/>
      <w:r w:rsidR="00AF61E1" w:rsidRPr="008D6D6A">
        <w:rPr>
          <w:rFonts w:ascii="Verdana" w:hAnsi="Verdana" w:cs="Times New Roman"/>
          <w:i/>
          <w:sz w:val="20"/>
          <w:szCs w:val="20"/>
        </w:rPr>
        <w:t xml:space="preserve"> </w:t>
      </w:r>
    </w:p>
    <w:p w:rsidR="00DD45D3" w:rsidRPr="008D6D6A" w:rsidRDefault="0065040F"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 xml:space="preserve">El Reglamento sobre </w:t>
      </w:r>
      <w:r w:rsidR="00EC66DA" w:rsidRPr="008D6D6A">
        <w:rPr>
          <w:rFonts w:ascii="Verdana" w:hAnsi="Verdana" w:cs="Times New Roman"/>
          <w:sz w:val="20"/>
          <w:szCs w:val="20"/>
        </w:rPr>
        <w:t xml:space="preserve">la </w:t>
      </w:r>
      <w:r w:rsidR="00BB2C9A" w:rsidRPr="008D6D6A">
        <w:rPr>
          <w:rFonts w:ascii="Verdana" w:hAnsi="Verdana" w:cs="Times New Roman"/>
          <w:sz w:val="20"/>
          <w:szCs w:val="20"/>
        </w:rPr>
        <w:t>Transparencia,</w:t>
      </w:r>
      <w:r w:rsidRPr="008D6D6A">
        <w:rPr>
          <w:rFonts w:ascii="Verdana" w:hAnsi="Verdana" w:cs="Times New Roman"/>
          <w:sz w:val="20"/>
          <w:szCs w:val="20"/>
        </w:rPr>
        <w:t xml:space="preserve"> si realmente pretende que los arbitrajes de inversiones sean transparentes, no puede conc</w:t>
      </w:r>
      <w:r w:rsidR="00251185" w:rsidRPr="008D6D6A">
        <w:rPr>
          <w:rFonts w:ascii="Verdana" w:hAnsi="Verdana" w:cs="Times New Roman"/>
          <w:sz w:val="20"/>
          <w:szCs w:val="20"/>
        </w:rPr>
        <w:t>luir de otra manera que no sea</w:t>
      </w:r>
      <w:r w:rsidRPr="008D6D6A">
        <w:rPr>
          <w:rFonts w:ascii="Verdana" w:hAnsi="Verdana" w:cs="Times New Roman"/>
          <w:sz w:val="20"/>
          <w:szCs w:val="20"/>
        </w:rPr>
        <w:t xml:space="preserve"> con el establecimiento de un repositorio o archivo para divulgar o publicar dicha informació</w:t>
      </w:r>
      <w:r w:rsidR="007677E6" w:rsidRPr="008D6D6A">
        <w:rPr>
          <w:rFonts w:ascii="Verdana" w:hAnsi="Verdana" w:cs="Times New Roman"/>
          <w:sz w:val="20"/>
          <w:szCs w:val="20"/>
        </w:rPr>
        <w:t xml:space="preserve">n. </w:t>
      </w:r>
      <w:r w:rsidR="005D058E">
        <w:rPr>
          <w:rFonts w:ascii="Verdana" w:hAnsi="Verdana" w:cs="Times New Roman"/>
          <w:sz w:val="20"/>
          <w:szCs w:val="20"/>
        </w:rPr>
        <w:t>De esta manera</w:t>
      </w:r>
      <w:r w:rsidR="007677E6" w:rsidRPr="008D6D6A">
        <w:rPr>
          <w:rFonts w:ascii="Verdana" w:hAnsi="Verdana" w:cs="Times New Roman"/>
          <w:sz w:val="20"/>
          <w:szCs w:val="20"/>
        </w:rPr>
        <w:t>, la información se encontrará pública en el sitio web de la CNUDMI</w:t>
      </w:r>
      <w:r w:rsidR="007677E6" w:rsidRPr="008D6D6A">
        <w:rPr>
          <w:rStyle w:val="Refdenotaalpie"/>
          <w:rFonts w:ascii="Verdana" w:hAnsi="Verdana" w:cs="Times New Roman"/>
          <w:sz w:val="20"/>
          <w:szCs w:val="20"/>
        </w:rPr>
        <w:footnoteReference w:id="134"/>
      </w:r>
      <w:r w:rsidR="003B272C" w:rsidRPr="008D6D6A">
        <w:rPr>
          <w:rFonts w:ascii="Verdana" w:hAnsi="Verdana" w:cs="Times New Roman"/>
          <w:sz w:val="20"/>
          <w:szCs w:val="20"/>
        </w:rPr>
        <w:t>,</w:t>
      </w:r>
      <w:r w:rsidR="007677E6" w:rsidRPr="008D6D6A">
        <w:rPr>
          <w:rFonts w:ascii="Verdana" w:hAnsi="Verdana" w:cs="Times New Roman"/>
          <w:sz w:val="20"/>
          <w:szCs w:val="20"/>
        </w:rPr>
        <w:t xml:space="preserve"> </w:t>
      </w:r>
      <w:r w:rsidR="003B272C" w:rsidRPr="008D6D6A">
        <w:rPr>
          <w:rFonts w:ascii="Verdana" w:hAnsi="Verdana" w:cs="Times New Roman"/>
          <w:sz w:val="20"/>
          <w:szCs w:val="20"/>
        </w:rPr>
        <w:t>l</w:t>
      </w:r>
      <w:r w:rsidR="007677E6" w:rsidRPr="008D6D6A">
        <w:rPr>
          <w:rFonts w:ascii="Verdana" w:hAnsi="Verdana" w:cs="Times New Roman"/>
          <w:sz w:val="20"/>
          <w:szCs w:val="20"/>
        </w:rPr>
        <w:t xml:space="preserve">o que resulta de gran </w:t>
      </w:r>
      <w:r w:rsidR="003B272C" w:rsidRPr="008D6D6A">
        <w:rPr>
          <w:rFonts w:ascii="Verdana" w:hAnsi="Verdana" w:cs="Times New Roman"/>
          <w:sz w:val="20"/>
          <w:szCs w:val="20"/>
        </w:rPr>
        <w:t>importancia ya que permite</w:t>
      </w:r>
      <w:r w:rsidR="007677E6" w:rsidRPr="008D6D6A">
        <w:rPr>
          <w:rFonts w:ascii="Verdana" w:hAnsi="Verdana" w:cs="Times New Roman"/>
          <w:sz w:val="20"/>
          <w:szCs w:val="20"/>
        </w:rPr>
        <w:t xml:space="preserve"> tener concentrado</w:t>
      </w:r>
      <w:r w:rsidR="003A48C4" w:rsidRPr="008D6D6A">
        <w:rPr>
          <w:rFonts w:ascii="Verdana" w:hAnsi="Verdana" w:cs="Times New Roman"/>
          <w:sz w:val="20"/>
          <w:szCs w:val="20"/>
        </w:rPr>
        <w:t>, aunque existen sus excepciones,</w:t>
      </w:r>
      <w:r w:rsidR="007677E6" w:rsidRPr="008D6D6A">
        <w:rPr>
          <w:rFonts w:ascii="Verdana" w:hAnsi="Verdana" w:cs="Times New Roman"/>
          <w:sz w:val="20"/>
          <w:szCs w:val="20"/>
        </w:rPr>
        <w:t xml:space="preserve"> en un único sitio </w:t>
      </w:r>
      <w:r w:rsidR="00EC66DA" w:rsidRPr="008D6D6A">
        <w:rPr>
          <w:rFonts w:ascii="Verdana" w:hAnsi="Verdana" w:cs="Times New Roman"/>
          <w:sz w:val="20"/>
          <w:szCs w:val="20"/>
        </w:rPr>
        <w:t>toda la informació</w:t>
      </w:r>
      <w:r w:rsidR="00BB2C9A" w:rsidRPr="008D6D6A">
        <w:rPr>
          <w:rFonts w:ascii="Verdana" w:hAnsi="Verdana" w:cs="Times New Roman"/>
          <w:sz w:val="20"/>
          <w:szCs w:val="20"/>
        </w:rPr>
        <w:t>n relacionada con</w:t>
      </w:r>
      <w:r w:rsidR="007677E6" w:rsidRPr="008D6D6A">
        <w:rPr>
          <w:rFonts w:ascii="Verdana" w:hAnsi="Verdana" w:cs="Times New Roman"/>
          <w:sz w:val="20"/>
          <w:szCs w:val="20"/>
        </w:rPr>
        <w:t xml:space="preserve"> </w:t>
      </w:r>
      <w:r w:rsidR="00BB2C9A" w:rsidRPr="008D6D6A">
        <w:rPr>
          <w:rFonts w:ascii="Verdana" w:hAnsi="Verdana" w:cs="Times New Roman"/>
          <w:sz w:val="20"/>
          <w:szCs w:val="20"/>
        </w:rPr>
        <w:t>e</w:t>
      </w:r>
      <w:r w:rsidR="007677E6" w:rsidRPr="008D6D6A">
        <w:rPr>
          <w:rFonts w:ascii="Verdana" w:hAnsi="Verdana" w:cs="Times New Roman"/>
          <w:sz w:val="20"/>
          <w:szCs w:val="20"/>
        </w:rPr>
        <w:t>l arbitraje de inversiones en los que se apliquen las normas de transparencia establecidas en el Reglamento</w:t>
      </w:r>
      <w:r w:rsidR="00DD45D3" w:rsidRPr="008D6D6A">
        <w:rPr>
          <w:rFonts w:ascii="Verdana" w:hAnsi="Verdana" w:cs="Times New Roman"/>
          <w:sz w:val="20"/>
          <w:szCs w:val="20"/>
        </w:rPr>
        <w:t xml:space="preserve"> para su publicación. </w:t>
      </w:r>
      <w:r w:rsidR="003A48C4" w:rsidRPr="008D6D6A">
        <w:rPr>
          <w:rFonts w:ascii="Verdana" w:hAnsi="Verdana" w:cs="Times New Roman"/>
          <w:sz w:val="20"/>
          <w:szCs w:val="20"/>
        </w:rPr>
        <w:t xml:space="preserve">Nos referíamos antes a ciertas excepciones, debido a </w:t>
      </w:r>
      <w:r w:rsidR="003A48C4" w:rsidRPr="008D6D6A">
        <w:rPr>
          <w:rFonts w:ascii="Verdana" w:hAnsi="Verdana" w:cs="Times New Roman"/>
          <w:sz w:val="20"/>
          <w:szCs w:val="20"/>
        </w:rPr>
        <w:lastRenderedPageBreak/>
        <w:t xml:space="preserve">que, </w:t>
      </w:r>
      <w:r w:rsidR="00DD45D3" w:rsidRPr="008D6D6A">
        <w:rPr>
          <w:rFonts w:ascii="Verdana" w:hAnsi="Verdana" w:cs="Times New Roman"/>
          <w:sz w:val="20"/>
          <w:szCs w:val="20"/>
        </w:rPr>
        <w:t xml:space="preserve">en determinados casos, no siempre el repositorio de la CNUDMI será </w:t>
      </w:r>
      <w:r w:rsidR="007858A3" w:rsidRPr="008D6D6A">
        <w:rPr>
          <w:rFonts w:ascii="Verdana" w:hAnsi="Verdana" w:cs="Times New Roman"/>
          <w:sz w:val="20"/>
          <w:szCs w:val="20"/>
        </w:rPr>
        <w:t>el elegido para la p</w:t>
      </w:r>
      <w:r w:rsidR="00DD45D3" w:rsidRPr="008D6D6A">
        <w:rPr>
          <w:rFonts w:ascii="Verdana" w:hAnsi="Verdana" w:cs="Times New Roman"/>
          <w:sz w:val="20"/>
          <w:szCs w:val="20"/>
        </w:rPr>
        <w:t>ubli</w:t>
      </w:r>
      <w:r w:rsidR="007858A3" w:rsidRPr="008D6D6A">
        <w:rPr>
          <w:rFonts w:ascii="Verdana" w:hAnsi="Verdana" w:cs="Times New Roman"/>
          <w:sz w:val="20"/>
          <w:szCs w:val="20"/>
        </w:rPr>
        <w:t>cación de</w:t>
      </w:r>
      <w:r w:rsidR="00DD45D3" w:rsidRPr="008D6D6A">
        <w:rPr>
          <w:rFonts w:ascii="Verdana" w:hAnsi="Verdana" w:cs="Times New Roman"/>
          <w:sz w:val="20"/>
          <w:szCs w:val="20"/>
        </w:rPr>
        <w:t xml:space="preserve"> la informaci</w:t>
      </w:r>
      <w:r w:rsidR="00BB2C9A" w:rsidRPr="008D6D6A">
        <w:rPr>
          <w:rFonts w:ascii="Verdana" w:hAnsi="Verdana" w:cs="Times New Roman"/>
          <w:sz w:val="20"/>
          <w:szCs w:val="20"/>
        </w:rPr>
        <w:t>ón</w:t>
      </w:r>
      <w:r w:rsidR="003B272C" w:rsidRPr="008D6D6A">
        <w:rPr>
          <w:rFonts w:ascii="Verdana" w:hAnsi="Verdana" w:cs="Times New Roman"/>
          <w:sz w:val="20"/>
          <w:szCs w:val="20"/>
        </w:rPr>
        <w:t>.</w:t>
      </w:r>
      <w:r w:rsidR="00BB2C9A" w:rsidRPr="008D6D6A">
        <w:rPr>
          <w:rFonts w:ascii="Verdana" w:hAnsi="Verdana" w:cs="Times New Roman"/>
          <w:sz w:val="20"/>
          <w:szCs w:val="20"/>
        </w:rPr>
        <w:t xml:space="preserve"> </w:t>
      </w:r>
      <w:r w:rsidR="003B272C" w:rsidRPr="008D6D6A">
        <w:rPr>
          <w:rFonts w:ascii="Verdana" w:hAnsi="Verdana" w:cs="Times New Roman"/>
          <w:sz w:val="20"/>
          <w:szCs w:val="20"/>
        </w:rPr>
        <w:t>H</w:t>
      </w:r>
      <w:r w:rsidR="00BB2C9A" w:rsidRPr="008D6D6A">
        <w:rPr>
          <w:rFonts w:ascii="Verdana" w:hAnsi="Verdana" w:cs="Times New Roman"/>
          <w:sz w:val="20"/>
          <w:szCs w:val="20"/>
        </w:rPr>
        <w:t>ay que tener en cuenta</w:t>
      </w:r>
      <w:r w:rsidR="00DD45D3" w:rsidRPr="008D6D6A">
        <w:rPr>
          <w:rFonts w:ascii="Verdana" w:hAnsi="Verdana" w:cs="Times New Roman"/>
          <w:sz w:val="20"/>
          <w:szCs w:val="20"/>
        </w:rPr>
        <w:t xml:space="preserve"> </w:t>
      </w:r>
      <w:r w:rsidR="007858A3" w:rsidRPr="008D6D6A">
        <w:rPr>
          <w:rFonts w:ascii="Verdana" w:hAnsi="Verdana" w:cs="Times New Roman"/>
          <w:sz w:val="20"/>
          <w:szCs w:val="20"/>
        </w:rPr>
        <w:t>que el propio artículo 8 faculta a la CNUDMI a nombrar otra instit</w:t>
      </w:r>
      <w:r w:rsidR="005D058E">
        <w:rPr>
          <w:rFonts w:ascii="Verdana" w:hAnsi="Verdana" w:cs="Times New Roman"/>
          <w:sz w:val="20"/>
          <w:szCs w:val="20"/>
        </w:rPr>
        <w:t>ución que pueda llevar a cabo</w:t>
      </w:r>
      <w:r w:rsidR="007858A3" w:rsidRPr="008D6D6A">
        <w:rPr>
          <w:rFonts w:ascii="Verdana" w:hAnsi="Verdana" w:cs="Times New Roman"/>
          <w:sz w:val="20"/>
          <w:szCs w:val="20"/>
        </w:rPr>
        <w:t xml:space="preserve"> dicha función</w:t>
      </w:r>
      <w:r w:rsidR="003B272C" w:rsidRPr="008D6D6A">
        <w:rPr>
          <w:rFonts w:ascii="Verdana" w:hAnsi="Verdana" w:cs="Times New Roman"/>
          <w:sz w:val="20"/>
          <w:szCs w:val="20"/>
        </w:rPr>
        <w:t>,</w:t>
      </w:r>
      <w:r w:rsidR="00DD45D3" w:rsidRPr="008D6D6A">
        <w:rPr>
          <w:rFonts w:ascii="Verdana" w:hAnsi="Verdana" w:cs="Times New Roman"/>
          <w:sz w:val="20"/>
          <w:szCs w:val="20"/>
        </w:rPr>
        <w:t xml:space="preserve"> </w:t>
      </w:r>
      <w:r w:rsidR="003B272C" w:rsidRPr="008D6D6A">
        <w:rPr>
          <w:rFonts w:ascii="Verdana" w:hAnsi="Verdana" w:cs="Times New Roman"/>
          <w:sz w:val="20"/>
          <w:szCs w:val="20"/>
        </w:rPr>
        <w:t>c</w:t>
      </w:r>
      <w:r w:rsidR="00DD45D3" w:rsidRPr="008D6D6A">
        <w:rPr>
          <w:rFonts w:ascii="Verdana" w:hAnsi="Verdana" w:cs="Times New Roman"/>
          <w:sz w:val="20"/>
          <w:szCs w:val="20"/>
        </w:rPr>
        <w:t>omo p</w:t>
      </w:r>
      <w:r w:rsidR="003A48C4" w:rsidRPr="008D6D6A">
        <w:rPr>
          <w:rFonts w:ascii="Verdana" w:hAnsi="Verdana" w:cs="Times New Roman"/>
          <w:sz w:val="20"/>
          <w:szCs w:val="20"/>
        </w:rPr>
        <w:t>uede suceder en ciertos</w:t>
      </w:r>
      <w:r w:rsidR="00DD45D3" w:rsidRPr="008D6D6A">
        <w:rPr>
          <w:rFonts w:ascii="Verdana" w:hAnsi="Verdana" w:cs="Times New Roman"/>
          <w:sz w:val="20"/>
          <w:szCs w:val="20"/>
        </w:rPr>
        <w:t xml:space="preserve"> casos de arbitraje ante el CIADI, que aunque se apliquen las reglas de transparencia de la CNUDMI, en la mayoría de ellos el repositorio </w:t>
      </w:r>
      <w:r w:rsidR="00DC510E" w:rsidRPr="008D6D6A">
        <w:rPr>
          <w:rFonts w:ascii="Verdana" w:hAnsi="Verdana" w:cs="Times New Roman"/>
          <w:sz w:val="20"/>
          <w:szCs w:val="20"/>
        </w:rPr>
        <w:t>queda en manos de la propia institución</w:t>
      </w:r>
      <w:r w:rsidR="00DD45D3" w:rsidRPr="008D6D6A">
        <w:rPr>
          <w:rFonts w:ascii="Verdana" w:hAnsi="Verdana" w:cs="Times New Roman"/>
          <w:sz w:val="20"/>
          <w:szCs w:val="20"/>
        </w:rPr>
        <w:t xml:space="preserve"> CIADI</w:t>
      </w:r>
      <w:r w:rsidR="00DD45D3" w:rsidRPr="008D6D6A">
        <w:rPr>
          <w:rStyle w:val="Refdenotaalpie"/>
          <w:rFonts w:ascii="Verdana" w:hAnsi="Verdana" w:cs="Times New Roman"/>
          <w:sz w:val="20"/>
          <w:szCs w:val="20"/>
        </w:rPr>
        <w:footnoteReference w:id="135"/>
      </w:r>
      <w:r w:rsidR="00DD45D3" w:rsidRPr="008D6D6A">
        <w:rPr>
          <w:rFonts w:ascii="Verdana" w:hAnsi="Verdana" w:cs="Times New Roman"/>
          <w:sz w:val="20"/>
          <w:szCs w:val="20"/>
        </w:rPr>
        <w:t xml:space="preserve">. </w:t>
      </w:r>
    </w:p>
    <w:p w:rsidR="00251FD3" w:rsidRDefault="005D03F5" w:rsidP="006D3AD5">
      <w:pPr>
        <w:pStyle w:val="Contenidodelatabla"/>
        <w:spacing w:line="240" w:lineRule="auto"/>
        <w:rPr>
          <w:rFonts w:ascii="Verdana" w:hAnsi="Verdana" w:cs="Times New Roman"/>
          <w:sz w:val="20"/>
          <w:szCs w:val="20"/>
        </w:rPr>
      </w:pPr>
      <w:r w:rsidRPr="008D6D6A">
        <w:rPr>
          <w:rFonts w:ascii="Verdana" w:hAnsi="Verdana" w:cs="Times New Roman"/>
          <w:sz w:val="20"/>
          <w:szCs w:val="20"/>
        </w:rPr>
        <w:t>El archivo ya ha comenzado a funcionar y h</w:t>
      </w:r>
      <w:r w:rsidR="0059025B" w:rsidRPr="008D6D6A">
        <w:rPr>
          <w:rFonts w:ascii="Verdana" w:hAnsi="Verdana" w:cs="Times New Roman"/>
          <w:sz w:val="20"/>
          <w:szCs w:val="20"/>
        </w:rPr>
        <w:t>asta la fecha solo existe un número de ocho</w:t>
      </w:r>
      <w:r w:rsidRPr="008D6D6A">
        <w:rPr>
          <w:rFonts w:ascii="Verdana" w:hAnsi="Verdana" w:cs="Times New Roman"/>
          <w:sz w:val="20"/>
          <w:szCs w:val="20"/>
        </w:rPr>
        <w:t xml:space="preserve"> casos registrados</w:t>
      </w:r>
      <w:r w:rsidR="00CD4B5E" w:rsidRPr="008D6D6A">
        <w:rPr>
          <w:rFonts w:ascii="Verdana" w:hAnsi="Verdana" w:cs="Times New Roman"/>
          <w:sz w:val="20"/>
          <w:szCs w:val="20"/>
        </w:rPr>
        <w:t>,</w:t>
      </w:r>
      <w:r w:rsidR="0059025B" w:rsidRPr="008D6D6A">
        <w:rPr>
          <w:rFonts w:ascii="Verdana" w:hAnsi="Verdana" w:cs="Times New Roman"/>
          <w:sz w:val="20"/>
          <w:szCs w:val="20"/>
        </w:rPr>
        <w:t xml:space="preserve"> seis </w:t>
      </w:r>
      <w:r w:rsidR="00CD4B5E" w:rsidRPr="008D6D6A">
        <w:rPr>
          <w:rFonts w:ascii="Verdana" w:hAnsi="Verdana" w:cs="Times New Roman"/>
          <w:sz w:val="20"/>
          <w:szCs w:val="20"/>
        </w:rPr>
        <w:t>pertenecientes a Canadá</w:t>
      </w:r>
      <w:r w:rsidR="0059025B" w:rsidRPr="008D6D6A">
        <w:rPr>
          <w:rFonts w:ascii="Verdana" w:hAnsi="Verdana" w:cs="Times New Roman"/>
          <w:sz w:val="20"/>
          <w:szCs w:val="20"/>
        </w:rPr>
        <w:t xml:space="preserve"> </w:t>
      </w:r>
      <w:r w:rsidR="00CD4B5E" w:rsidRPr="008D6D6A">
        <w:rPr>
          <w:rFonts w:ascii="Verdana" w:hAnsi="Verdana" w:cs="Times New Roman"/>
          <w:sz w:val="20"/>
          <w:szCs w:val="20"/>
        </w:rPr>
        <w:t>-</w:t>
      </w:r>
      <w:r w:rsidR="0059025B" w:rsidRPr="008D6D6A">
        <w:rPr>
          <w:rFonts w:ascii="Verdana" w:hAnsi="Verdana" w:cs="Times New Roman"/>
          <w:sz w:val="20"/>
          <w:szCs w:val="20"/>
        </w:rPr>
        <w:t>de los cuales dos están pendientes de solución y cuatro</w:t>
      </w:r>
      <w:r w:rsidR="00CD4B5E" w:rsidRPr="008D6D6A">
        <w:rPr>
          <w:rFonts w:ascii="Verdana" w:hAnsi="Verdana" w:cs="Times New Roman"/>
          <w:sz w:val="20"/>
          <w:szCs w:val="20"/>
        </w:rPr>
        <w:t xml:space="preserve"> ya se han concluido-,</w:t>
      </w:r>
      <w:r w:rsidRPr="008D6D6A">
        <w:rPr>
          <w:rFonts w:ascii="Verdana" w:hAnsi="Verdana" w:cs="Times New Roman"/>
          <w:sz w:val="20"/>
          <w:szCs w:val="20"/>
        </w:rPr>
        <w:t xml:space="preserve"> un caso de</w:t>
      </w:r>
      <w:r w:rsidR="00CD4B5E" w:rsidRPr="008D6D6A">
        <w:rPr>
          <w:rFonts w:ascii="Verdana" w:hAnsi="Verdana" w:cs="Times New Roman"/>
          <w:sz w:val="20"/>
          <w:szCs w:val="20"/>
        </w:rPr>
        <w:t xml:space="preserve"> Bolivia y un caso de Guinea;</w:t>
      </w:r>
      <w:r w:rsidR="0059025B" w:rsidRPr="008D6D6A">
        <w:rPr>
          <w:rFonts w:ascii="Verdana" w:hAnsi="Verdana" w:cs="Times New Roman"/>
          <w:sz w:val="20"/>
          <w:szCs w:val="20"/>
        </w:rPr>
        <w:t xml:space="preserve"> éstos dos últimos aún están pendientes de solución</w:t>
      </w:r>
      <w:r w:rsidRPr="008D6D6A">
        <w:rPr>
          <w:rStyle w:val="Refdenotaalpie"/>
          <w:rFonts w:ascii="Verdana" w:hAnsi="Verdana" w:cs="Times New Roman"/>
          <w:sz w:val="20"/>
          <w:szCs w:val="20"/>
        </w:rPr>
        <w:footnoteReference w:id="136"/>
      </w:r>
      <w:r w:rsidR="0059025B" w:rsidRPr="008D6D6A">
        <w:rPr>
          <w:rFonts w:ascii="Verdana" w:hAnsi="Verdana" w:cs="Times New Roman"/>
          <w:sz w:val="20"/>
          <w:szCs w:val="20"/>
        </w:rPr>
        <w:t>.</w:t>
      </w:r>
      <w:bookmarkStart w:id="63" w:name="_Hlk491992421"/>
      <w:bookmarkStart w:id="64" w:name="_Hlk488328981"/>
    </w:p>
    <w:p w:rsidR="00134159" w:rsidRPr="008D6D6A" w:rsidRDefault="00134159" w:rsidP="006D3AD5">
      <w:pPr>
        <w:pStyle w:val="Contenidodelatabla"/>
        <w:spacing w:line="240" w:lineRule="auto"/>
        <w:rPr>
          <w:rFonts w:ascii="Verdana" w:hAnsi="Verdana" w:cs="Times New Roman"/>
          <w:sz w:val="20"/>
          <w:szCs w:val="20"/>
        </w:rPr>
      </w:pPr>
    </w:p>
    <w:p w:rsidR="003C4866" w:rsidRPr="008D6D6A" w:rsidRDefault="00D97361" w:rsidP="006D3AD5">
      <w:pPr>
        <w:pStyle w:val="Ttulo2"/>
        <w:spacing w:before="0" w:line="240" w:lineRule="auto"/>
        <w:ind w:firstLine="0"/>
        <w:rPr>
          <w:rFonts w:ascii="Verdana" w:hAnsi="Verdana" w:cs="Times New Roman"/>
          <w:color w:val="auto"/>
          <w:sz w:val="20"/>
          <w:szCs w:val="20"/>
        </w:rPr>
      </w:pPr>
      <w:bookmarkStart w:id="65" w:name="_Toc536741931"/>
      <w:bookmarkStart w:id="66" w:name="_Toc1224453"/>
      <w:bookmarkEnd w:id="63"/>
      <w:r w:rsidRPr="008D6D6A">
        <w:rPr>
          <w:rFonts w:ascii="Verdana" w:hAnsi="Verdana" w:cs="Times New Roman"/>
          <w:color w:val="auto"/>
          <w:sz w:val="20"/>
          <w:szCs w:val="20"/>
        </w:rPr>
        <w:t>5.</w:t>
      </w:r>
      <w:r w:rsidR="003C4866" w:rsidRPr="008D6D6A">
        <w:rPr>
          <w:rFonts w:ascii="Verdana" w:hAnsi="Verdana" w:cs="Times New Roman"/>
          <w:color w:val="auto"/>
          <w:sz w:val="20"/>
          <w:szCs w:val="20"/>
        </w:rPr>
        <w:t xml:space="preserve"> La </w:t>
      </w:r>
      <w:r w:rsidR="003767A8" w:rsidRPr="008D6D6A">
        <w:rPr>
          <w:rFonts w:ascii="Verdana" w:hAnsi="Verdana" w:cs="Times New Roman"/>
          <w:color w:val="auto"/>
          <w:sz w:val="20"/>
          <w:szCs w:val="20"/>
        </w:rPr>
        <w:t>convencionalización de las Reglas sobre la Transparencia de la CNUDMI: la Convención de Mauricio</w:t>
      </w:r>
      <w:r w:rsidR="003C4866" w:rsidRPr="008D6D6A">
        <w:rPr>
          <w:rFonts w:ascii="Verdana" w:hAnsi="Verdana" w:cs="Times New Roman"/>
          <w:color w:val="auto"/>
          <w:sz w:val="20"/>
          <w:szCs w:val="20"/>
        </w:rPr>
        <w:t>.</w:t>
      </w:r>
      <w:bookmarkEnd w:id="65"/>
      <w:bookmarkEnd w:id="66"/>
      <w:r w:rsidR="000037B8" w:rsidRPr="008D6D6A">
        <w:rPr>
          <w:rFonts w:ascii="Verdana" w:hAnsi="Verdana" w:cs="Times New Roman"/>
          <w:color w:val="auto"/>
          <w:sz w:val="20"/>
          <w:szCs w:val="20"/>
        </w:rPr>
        <w:t xml:space="preserve"> </w:t>
      </w:r>
    </w:p>
    <w:p w:rsidR="00A53044" w:rsidRPr="008D6D6A" w:rsidRDefault="005257BC"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En epígrafes</w:t>
      </w:r>
      <w:r w:rsidR="00120156" w:rsidRPr="008D6D6A">
        <w:rPr>
          <w:rFonts w:ascii="Verdana" w:hAnsi="Verdana" w:cs="Times New Roman"/>
          <w:sz w:val="20"/>
          <w:szCs w:val="20"/>
        </w:rPr>
        <w:t xml:space="preserve"> anteriores nos hemos referido</w:t>
      </w:r>
      <w:r w:rsidR="00677CF2" w:rsidRPr="008D6D6A">
        <w:rPr>
          <w:rFonts w:ascii="Verdana" w:hAnsi="Verdana" w:cs="Times New Roman"/>
          <w:sz w:val="20"/>
          <w:szCs w:val="20"/>
        </w:rPr>
        <w:t xml:space="preserve"> a la posibilidad de ampliación del ámbito de aplicación del Reglamento sobre la Transparencia </w:t>
      </w:r>
      <w:r w:rsidR="00120156" w:rsidRPr="008D6D6A">
        <w:rPr>
          <w:rFonts w:ascii="Verdana" w:hAnsi="Verdana" w:cs="Times New Roman"/>
          <w:sz w:val="20"/>
          <w:szCs w:val="20"/>
        </w:rPr>
        <w:t>-</w:t>
      </w:r>
      <w:r w:rsidR="00677CF2" w:rsidRPr="008D6D6A">
        <w:rPr>
          <w:rFonts w:ascii="Verdana" w:hAnsi="Verdana" w:cs="Times New Roman"/>
          <w:sz w:val="20"/>
          <w:szCs w:val="20"/>
        </w:rPr>
        <w:t>ya sea por un acuerdo entre las partes litigantes o por un acuerdo de las partes del tratado</w:t>
      </w:r>
      <w:r w:rsidR="00120156" w:rsidRPr="008D6D6A">
        <w:rPr>
          <w:rFonts w:ascii="Verdana" w:hAnsi="Verdana" w:cs="Times New Roman"/>
          <w:sz w:val="20"/>
          <w:szCs w:val="20"/>
        </w:rPr>
        <w:t>-</w:t>
      </w:r>
      <w:r w:rsidR="004E237B" w:rsidRPr="008D6D6A">
        <w:rPr>
          <w:rFonts w:ascii="Verdana" w:hAnsi="Verdana" w:cs="Times New Roman"/>
          <w:sz w:val="20"/>
          <w:szCs w:val="20"/>
        </w:rPr>
        <w:t xml:space="preserve"> a</w:t>
      </w:r>
      <w:r w:rsidR="00B358CF" w:rsidRPr="008D6D6A">
        <w:rPr>
          <w:rFonts w:ascii="Verdana" w:hAnsi="Verdana" w:cs="Times New Roman"/>
          <w:sz w:val="20"/>
          <w:szCs w:val="20"/>
        </w:rPr>
        <w:t xml:space="preserve"> los arbitrajes celebrados bajo</w:t>
      </w:r>
      <w:r w:rsidR="004E237B" w:rsidRPr="008D6D6A">
        <w:rPr>
          <w:rFonts w:ascii="Verdana" w:hAnsi="Verdana" w:cs="Times New Roman"/>
          <w:sz w:val="20"/>
          <w:szCs w:val="20"/>
        </w:rPr>
        <w:t xml:space="preserve"> </w:t>
      </w:r>
      <w:r w:rsidR="00120156" w:rsidRPr="008D6D6A">
        <w:rPr>
          <w:rFonts w:ascii="Verdana" w:hAnsi="Verdana" w:cs="Times New Roman"/>
          <w:sz w:val="20"/>
          <w:szCs w:val="20"/>
        </w:rPr>
        <w:t xml:space="preserve">un </w:t>
      </w:r>
      <w:r w:rsidR="004E237B" w:rsidRPr="008D6D6A">
        <w:rPr>
          <w:rFonts w:ascii="Verdana" w:hAnsi="Verdana" w:cs="Times New Roman"/>
          <w:sz w:val="20"/>
          <w:szCs w:val="20"/>
        </w:rPr>
        <w:t xml:space="preserve">tratado </w:t>
      </w:r>
      <w:r w:rsidR="00120156" w:rsidRPr="008D6D6A">
        <w:rPr>
          <w:rFonts w:ascii="Verdana" w:hAnsi="Verdana" w:cs="Times New Roman"/>
          <w:sz w:val="20"/>
          <w:szCs w:val="20"/>
        </w:rPr>
        <w:t>con fecha anterior al 1 de abril de 2014,</w:t>
      </w:r>
      <w:r w:rsidR="004E237B" w:rsidRPr="008D6D6A">
        <w:rPr>
          <w:rFonts w:ascii="Verdana" w:hAnsi="Verdana" w:cs="Times New Roman"/>
          <w:sz w:val="20"/>
          <w:szCs w:val="20"/>
        </w:rPr>
        <w:t xml:space="preserve"> si</w:t>
      </w:r>
      <w:r w:rsidR="003970B0" w:rsidRPr="008D6D6A">
        <w:rPr>
          <w:rFonts w:ascii="Verdana" w:hAnsi="Verdana" w:cs="Times New Roman"/>
          <w:sz w:val="20"/>
          <w:szCs w:val="20"/>
        </w:rPr>
        <w:t>en</w:t>
      </w:r>
      <w:r w:rsidR="004E237B" w:rsidRPr="008D6D6A">
        <w:rPr>
          <w:rFonts w:ascii="Verdana" w:hAnsi="Verdana" w:cs="Times New Roman"/>
          <w:sz w:val="20"/>
          <w:szCs w:val="20"/>
        </w:rPr>
        <w:t xml:space="preserve">do </w:t>
      </w:r>
      <w:r w:rsidR="00B358CF" w:rsidRPr="008D6D6A">
        <w:rPr>
          <w:rFonts w:ascii="Verdana" w:hAnsi="Verdana" w:cs="Times New Roman"/>
          <w:sz w:val="20"/>
          <w:szCs w:val="20"/>
        </w:rPr>
        <w:t xml:space="preserve">posible </w:t>
      </w:r>
      <w:r w:rsidR="00C52D5B">
        <w:rPr>
          <w:rFonts w:ascii="Verdana" w:hAnsi="Verdana" w:cs="Times New Roman"/>
          <w:sz w:val="20"/>
          <w:szCs w:val="20"/>
        </w:rPr>
        <w:t>por</w:t>
      </w:r>
      <w:r w:rsidR="004E237B" w:rsidRPr="008D6D6A">
        <w:rPr>
          <w:rFonts w:ascii="Verdana" w:hAnsi="Verdana" w:cs="Times New Roman"/>
          <w:sz w:val="20"/>
          <w:szCs w:val="20"/>
        </w:rPr>
        <w:t xml:space="preserve"> la aprobación de la Co</w:t>
      </w:r>
      <w:r w:rsidR="00C14A78" w:rsidRPr="008D6D6A">
        <w:rPr>
          <w:rFonts w:ascii="Verdana" w:hAnsi="Verdana" w:cs="Times New Roman"/>
          <w:sz w:val="20"/>
          <w:szCs w:val="20"/>
        </w:rPr>
        <w:t>nvención sobre la Transparencia</w:t>
      </w:r>
      <w:r w:rsidR="004E237B" w:rsidRPr="008D6D6A">
        <w:rPr>
          <w:rFonts w:ascii="Verdana" w:hAnsi="Verdana" w:cs="Times New Roman"/>
          <w:sz w:val="20"/>
          <w:szCs w:val="20"/>
        </w:rPr>
        <w:t xml:space="preserve"> o Convención de Mauricio</w:t>
      </w:r>
      <w:r w:rsidR="004E237B" w:rsidRPr="008D6D6A">
        <w:rPr>
          <w:rStyle w:val="Refdenotaalpie"/>
          <w:rFonts w:ascii="Verdana" w:hAnsi="Verdana" w:cs="Times New Roman"/>
          <w:sz w:val="20"/>
          <w:szCs w:val="20"/>
        </w:rPr>
        <w:footnoteReference w:id="137"/>
      </w:r>
      <w:r w:rsidR="00CA49C9" w:rsidRPr="008D6D6A">
        <w:rPr>
          <w:rFonts w:ascii="Verdana" w:hAnsi="Verdana" w:cs="Times New Roman"/>
          <w:sz w:val="20"/>
          <w:szCs w:val="20"/>
        </w:rPr>
        <w:t xml:space="preserve">. </w:t>
      </w:r>
      <w:r w:rsidR="0072273B" w:rsidRPr="008D6D6A">
        <w:rPr>
          <w:rFonts w:ascii="Verdana" w:hAnsi="Verdana" w:cs="Times New Roman"/>
          <w:sz w:val="20"/>
          <w:szCs w:val="20"/>
        </w:rPr>
        <w:t>E</w:t>
      </w:r>
      <w:r w:rsidR="00B358CF" w:rsidRPr="008D6D6A">
        <w:rPr>
          <w:rFonts w:ascii="Verdana" w:hAnsi="Verdana" w:cs="Times New Roman"/>
          <w:sz w:val="20"/>
          <w:szCs w:val="20"/>
        </w:rPr>
        <w:t>l objetivo general</w:t>
      </w:r>
      <w:r w:rsidR="0072273B" w:rsidRPr="008D6D6A">
        <w:rPr>
          <w:rFonts w:ascii="Verdana" w:hAnsi="Verdana" w:cs="Times New Roman"/>
          <w:sz w:val="20"/>
          <w:szCs w:val="20"/>
        </w:rPr>
        <w:t xml:space="preserve"> es</w:t>
      </w:r>
      <w:r w:rsidR="004E237B" w:rsidRPr="008D6D6A">
        <w:rPr>
          <w:rFonts w:ascii="Verdana" w:hAnsi="Verdana" w:cs="Times New Roman"/>
          <w:sz w:val="20"/>
          <w:szCs w:val="20"/>
        </w:rPr>
        <w:t xml:space="preserve"> promover la transparencia en los arbitraje</w:t>
      </w:r>
      <w:r w:rsidR="002222F8" w:rsidRPr="008D6D6A">
        <w:rPr>
          <w:rFonts w:ascii="Verdana" w:hAnsi="Verdana" w:cs="Times New Roman"/>
          <w:sz w:val="20"/>
          <w:szCs w:val="20"/>
        </w:rPr>
        <w:t>s</w:t>
      </w:r>
      <w:r w:rsidR="00F0314B" w:rsidRPr="008D6D6A">
        <w:rPr>
          <w:rFonts w:ascii="Verdana" w:hAnsi="Verdana" w:cs="Times New Roman"/>
          <w:sz w:val="20"/>
          <w:szCs w:val="20"/>
        </w:rPr>
        <w:t xml:space="preserve"> de inversiones y facilitar</w:t>
      </w:r>
      <w:r w:rsidR="00CA49C9" w:rsidRPr="008D6D6A">
        <w:rPr>
          <w:rFonts w:ascii="Verdana" w:hAnsi="Verdana" w:cs="Times New Roman"/>
          <w:sz w:val="20"/>
          <w:szCs w:val="20"/>
        </w:rPr>
        <w:t xml:space="preserve"> el proceso de participación de los </w:t>
      </w:r>
      <w:r w:rsidR="00AC5302" w:rsidRPr="008D6D6A">
        <w:rPr>
          <w:rFonts w:ascii="Verdana" w:hAnsi="Verdana" w:cs="Times New Roman"/>
          <w:sz w:val="20"/>
          <w:szCs w:val="20"/>
        </w:rPr>
        <w:t>E</w:t>
      </w:r>
      <w:r w:rsidR="00CA49C9" w:rsidRPr="008D6D6A">
        <w:rPr>
          <w:rFonts w:ascii="Verdana" w:hAnsi="Verdana" w:cs="Times New Roman"/>
          <w:sz w:val="20"/>
          <w:szCs w:val="20"/>
        </w:rPr>
        <w:t xml:space="preserve">stados en la aplicación de las reglas contenidas en el Reglamento sobre la Transparencia a los tratados existentes.  </w:t>
      </w:r>
    </w:p>
    <w:p w:rsidR="006852E2" w:rsidRPr="008D6D6A" w:rsidRDefault="0071181F"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La C</w:t>
      </w:r>
      <w:r w:rsidR="004E237B" w:rsidRPr="008D6D6A">
        <w:rPr>
          <w:rFonts w:ascii="Verdana" w:hAnsi="Verdana" w:cs="Times New Roman"/>
          <w:sz w:val="20"/>
          <w:szCs w:val="20"/>
        </w:rPr>
        <w:t xml:space="preserve">onvención </w:t>
      </w:r>
      <w:r w:rsidR="00C24BE3" w:rsidRPr="008D6D6A">
        <w:rPr>
          <w:rFonts w:ascii="Verdana" w:hAnsi="Verdana" w:cs="Times New Roman"/>
          <w:sz w:val="20"/>
          <w:szCs w:val="20"/>
        </w:rPr>
        <w:t>tiene como principal</w:t>
      </w:r>
      <w:r w:rsidR="00B372A7" w:rsidRPr="008D6D6A">
        <w:rPr>
          <w:rFonts w:ascii="Verdana" w:hAnsi="Verdana" w:cs="Times New Roman"/>
          <w:sz w:val="20"/>
          <w:szCs w:val="20"/>
        </w:rPr>
        <w:t>es</w:t>
      </w:r>
      <w:r w:rsidR="00C24BE3" w:rsidRPr="008D6D6A">
        <w:rPr>
          <w:rFonts w:ascii="Verdana" w:hAnsi="Verdana" w:cs="Times New Roman"/>
          <w:sz w:val="20"/>
          <w:szCs w:val="20"/>
        </w:rPr>
        <w:t xml:space="preserve"> objetivo</w:t>
      </w:r>
      <w:r w:rsidR="00B372A7" w:rsidRPr="008D6D6A">
        <w:rPr>
          <w:rFonts w:ascii="Verdana" w:hAnsi="Verdana" w:cs="Times New Roman"/>
          <w:sz w:val="20"/>
          <w:szCs w:val="20"/>
        </w:rPr>
        <w:t>s</w:t>
      </w:r>
      <w:r w:rsidR="00D05463" w:rsidRPr="008D6D6A">
        <w:rPr>
          <w:rFonts w:ascii="Verdana" w:hAnsi="Verdana" w:cs="Times New Roman"/>
          <w:sz w:val="20"/>
          <w:szCs w:val="20"/>
        </w:rPr>
        <w:t>:</w:t>
      </w:r>
      <w:r w:rsidR="00C24BE3" w:rsidRPr="008D6D6A">
        <w:rPr>
          <w:rFonts w:ascii="Verdana" w:hAnsi="Verdana" w:cs="Times New Roman"/>
          <w:sz w:val="20"/>
          <w:szCs w:val="20"/>
        </w:rPr>
        <w:t xml:space="preserve"> </w:t>
      </w:r>
      <w:r w:rsidR="00D05463" w:rsidRPr="008D6D6A">
        <w:rPr>
          <w:rFonts w:ascii="Verdana" w:hAnsi="Verdana" w:cs="Times New Roman"/>
          <w:sz w:val="20"/>
          <w:szCs w:val="20"/>
        </w:rPr>
        <w:t>primero,</w:t>
      </w:r>
      <w:r w:rsidR="00B372A7" w:rsidRPr="008D6D6A">
        <w:rPr>
          <w:rFonts w:ascii="Verdana" w:hAnsi="Verdana" w:cs="Times New Roman"/>
          <w:sz w:val="20"/>
          <w:szCs w:val="20"/>
        </w:rPr>
        <w:t xml:space="preserve"> </w:t>
      </w:r>
      <w:r w:rsidR="00C24BE3" w:rsidRPr="008D6D6A">
        <w:rPr>
          <w:rFonts w:ascii="Verdana" w:hAnsi="Verdana" w:cs="Times New Roman"/>
          <w:sz w:val="20"/>
          <w:szCs w:val="20"/>
        </w:rPr>
        <w:t>que la gran mayoría de los Estados que estén interesados en adoptar la transparencia como criterio general en los tratados que reglan los arbitrajes de inversiones de los que son partes</w:t>
      </w:r>
      <w:r w:rsidR="00B5520D" w:rsidRPr="008D6D6A">
        <w:rPr>
          <w:rFonts w:ascii="Verdana" w:hAnsi="Verdana" w:cs="Times New Roman"/>
          <w:sz w:val="20"/>
          <w:szCs w:val="20"/>
        </w:rPr>
        <w:t xml:space="preserve"> y</w:t>
      </w:r>
      <w:r w:rsidR="00D05463" w:rsidRPr="008D6D6A">
        <w:rPr>
          <w:rFonts w:ascii="Verdana" w:hAnsi="Verdana" w:cs="Times New Roman"/>
          <w:sz w:val="20"/>
          <w:szCs w:val="20"/>
        </w:rPr>
        <w:t xml:space="preserve"> </w:t>
      </w:r>
      <w:r w:rsidR="00B5520D" w:rsidRPr="008D6D6A">
        <w:rPr>
          <w:rFonts w:ascii="Verdana" w:hAnsi="Verdana" w:cs="Times New Roman"/>
          <w:sz w:val="20"/>
          <w:szCs w:val="20"/>
        </w:rPr>
        <w:t>las organizaciones internacionales de integración económica</w:t>
      </w:r>
      <w:r w:rsidR="00C52D5B">
        <w:rPr>
          <w:rFonts w:ascii="Verdana" w:hAnsi="Verdana" w:cs="Times New Roman"/>
          <w:sz w:val="20"/>
          <w:szCs w:val="20"/>
        </w:rPr>
        <w:t>,</w:t>
      </w:r>
      <w:r w:rsidR="00C24BE3" w:rsidRPr="008D6D6A">
        <w:rPr>
          <w:rFonts w:ascii="Verdana" w:hAnsi="Verdana" w:cs="Times New Roman"/>
          <w:sz w:val="20"/>
          <w:szCs w:val="20"/>
        </w:rPr>
        <w:t xml:space="preserve"> </w:t>
      </w:r>
      <w:r w:rsidR="00462498" w:rsidRPr="008D6D6A">
        <w:rPr>
          <w:rFonts w:ascii="Verdana" w:hAnsi="Verdana" w:cs="Times New Roman"/>
          <w:sz w:val="20"/>
          <w:szCs w:val="20"/>
        </w:rPr>
        <w:t>puedan contar con un instrumento</w:t>
      </w:r>
      <w:r w:rsidR="00C24BE3" w:rsidRPr="008D6D6A">
        <w:rPr>
          <w:rFonts w:ascii="Verdana" w:hAnsi="Verdana" w:cs="Times New Roman"/>
          <w:sz w:val="20"/>
          <w:szCs w:val="20"/>
        </w:rPr>
        <w:t xml:space="preserve"> práctico </w:t>
      </w:r>
      <w:r w:rsidR="00462498" w:rsidRPr="008D6D6A">
        <w:rPr>
          <w:rFonts w:ascii="Verdana" w:hAnsi="Verdana" w:cs="Times New Roman"/>
          <w:sz w:val="20"/>
          <w:szCs w:val="20"/>
        </w:rPr>
        <w:t xml:space="preserve">y eficiente </w:t>
      </w:r>
      <w:r w:rsidR="00C24BE3" w:rsidRPr="008D6D6A">
        <w:rPr>
          <w:rFonts w:ascii="Verdana" w:hAnsi="Verdana" w:cs="Times New Roman"/>
          <w:sz w:val="20"/>
          <w:szCs w:val="20"/>
        </w:rPr>
        <w:t xml:space="preserve">que les permita </w:t>
      </w:r>
      <w:r w:rsidR="00462498" w:rsidRPr="008D6D6A">
        <w:rPr>
          <w:rFonts w:ascii="Verdana" w:hAnsi="Verdana" w:cs="Times New Roman"/>
          <w:sz w:val="20"/>
          <w:szCs w:val="20"/>
        </w:rPr>
        <w:t>ampliar su aplicación a los más de 3.000 tratados bilaterales individuales de inversión, independientemente de la fecha del tratado subyacente a la disputa y las reglas aplicables al mismo, evitando así las</w:t>
      </w:r>
      <w:r w:rsidR="00C24BE3" w:rsidRPr="008D6D6A">
        <w:rPr>
          <w:rFonts w:ascii="Verdana" w:hAnsi="Verdana" w:cs="Times New Roman"/>
          <w:sz w:val="20"/>
          <w:szCs w:val="20"/>
        </w:rPr>
        <w:t xml:space="preserve"> renegociaciones de sus tratados</w:t>
      </w:r>
      <w:r w:rsidR="00C24BE3" w:rsidRPr="008D6D6A">
        <w:rPr>
          <w:rStyle w:val="Refdenotaalpie"/>
          <w:rFonts w:ascii="Verdana" w:hAnsi="Verdana" w:cs="Times New Roman"/>
          <w:sz w:val="20"/>
          <w:szCs w:val="20"/>
        </w:rPr>
        <w:footnoteReference w:id="138"/>
      </w:r>
      <w:r w:rsidR="003970B0" w:rsidRPr="008D6D6A">
        <w:rPr>
          <w:rFonts w:ascii="Verdana" w:hAnsi="Verdana" w:cs="Times New Roman"/>
          <w:sz w:val="20"/>
          <w:szCs w:val="20"/>
        </w:rPr>
        <w:t>.</w:t>
      </w:r>
      <w:r w:rsidR="00E207A2" w:rsidRPr="008D6D6A">
        <w:rPr>
          <w:rFonts w:ascii="Verdana" w:hAnsi="Verdana" w:cs="Times New Roman"/>
          <w:sz w:val="20"/>
          <w:szCs w:val="20"/>
        </w:rPr>
        <w:t xml:space="preserve"> E</w:t>
      </w:r>
      <w:r w:rsidR="00B372A7" w:rsidRPr="008D6D6A">
        <w:rPr>
          <w:rFonts w:ascii="Verdana" w:hAnsi="Verdana" w:cs="Times New Roman"/>
          <w:sz w:val="20"/>
          <w:szCs w:val="20"/>
        </w:rPr>
        <w:t xml:space="preserve">n segundo lugar, permitir que </w:t>
      </w:r>
      <w:r w:rsidR="006852E2" w:rsidRPr="008D6D6A">
        <w:rPr>
          <w:rFonts w:ascii="Verdana" w:hAnsi="Verdana" w:cs="Times New Roman"/>
          <w:sz w:val="20"/>
          <w:szCs w:val="20"/>
        </w:rPr>
        <w:t>el Reglamento</w:t>
      </w:r>
      <w:r w:rsidR="00B372A7" w:rsidRPr="008D6D6A">
        <w:rPr>
          <w:rFonts w:ascii="Verdana" w:hAnsi="Verdana" w:cs="Times New Roman"/>
          <w:sz w:val="20"/>
          <w:szCs w:val="20"/>
        </w:rPr>
        <w:t xml:space="preserve"> sobre</w:t>
      </w:r>
      <w:r w:rsidR="006852E2" w:rsidRPr="008D6D6A">
        <w:rPr>
          <w:rFonts w:ascii="Verdana" w:hAnsi="Verdana" w:cs="Times New Roman"/>
          <w:sz w:val="20"/>
          <w:szCs w:val="20"/>
        </w:rPr>
        <w:t xml:space="preserve"> la Transparencia no s</w:t>
      </w:r>
      <w:r w:rsidR="00C62E58" w:rsidRPr="008D6D6A">
        <w:rPr>
          <w:rFonts w:ascii="Verdana" w:hAnsi="Verdana" w:cs="Times New Roman"/>
          <w:sz w:val="20"/>
          <w:szCs w:val="20"/>
        </w:rPr>
        <w:t>ó</w:t>
      </w:r>
      <w:r w:rsidR="006852E2" w:rsidRPr="008D6D6A">
        <w:rPr>
          <w:rFonts w:ascii="Verdana" w:hAnsi="Verdana" w:cs="Times New Roman"/>
          <w:sz w:val="20"/>
          <w:szCs w:val="20"/>
        </w:rPr>
        <w:t>lo fuese</w:t>
      </w:r>
      <w:r w:rsidR="00B372A7" w:rsidRPr="008D6D6A">
        <w:rPr>
          <w:rFonts w:ascii="Verdana" w:hAnsi="Verdana" w:cs="Times New Roman"/>
          <w:sz w:val="20"/>
          <w:szCs w:val="20"/>
        </w:rPr>
        <w:t xml:space="preserve"> aplicable a arbitrajes de inversiones bajo las reglas arbitrales de la CNUDMI, sino también a todos los arbitrajes inversionista-Estado bajo tratados de inversión. </w:t>
      </w:r>
    </w:p>
    <w:p w:rsidR="00D557B6" w:rsidRPr="008D6D6A" w:rsidRDefault="00C52D5B" w:rsidP="006D3AD5">
      <w:pPr>
        <w:tabs>
          <w:tab w:val="left" w:pos="-284"/>
          <w:tab w:val="left" w:pos="284"/>
        </w:tabs>
        <w:spacing w:line="240" w:lineRule="auto"/>
        <w:rPr>
          <w:rFonts w:ascii="Verdana" w:hAnsi="Verdana" w:cs="Times New Roman"/>
          <w:sz w:val="20"/>
          <w:szCs w:val="20"/>
        </w:rPr>
      </w:pPr>
      <w:r>
        <w:rPr>
          <w:rFonts w:ascii="Verdana" w:hAnsi="Verdana" w:cs="Times New Roman"/>
          <w:sz w:val="20"/>
          <w:szCs w:val="20"/>
        </w:rPr>
        <w:t>En este sentido, c</w:t>
      </w:r>
      <w:r w:rsidR="006979B5" w:rsidRPr="008D6D6A">
        <w:rPr>
          <w:rFonts w:ascii="Verdana" w:hAnsi="Verdana" w:cs="Times New Roman"/>
          <w:sz w:val="20"/>
          <w:szCs w:val="20"/>
        </w:rPr>
        <w:t xml:space="preserve">onsideramos que, teniendo en cuenta el carácter ambicioso de la Convención, si </w:t>
      </w:r>
      <w:r w:rsidR="00D05463" w:rsidRPr="008D6D6A">
        <w:rPr>
          <w:rFonts w:ascii="Verdana" w:hAnsi="Verdana" w:cs="Times New Roman"/>
          <w:sz w:val="20"/>
          <w:szCs w:val="20"/>
        </w:rPr>
        <w:t>logra tener éxito</w:t>
      </w:r>
      <w:r>
        <w:rPr>
          <w:rFonts w:ascii="Verdana" w:hAnsi="Verdana" w:cs="Times New Roman"/>
          <w:sz w:val="20"/>
          <w:szCs w:val="20"/>
        </w:rPr>
        <w:t>s</w:t>
      </w:r>
      <w:r w:rsidR="006979B5" w:rsidRPr="008D6D6A">
        <w:rPr>
          <w:rFonts w:ascii="Verdana" w:hAnsi="Verdana" w:cs="Times New Roman"/>
          <w:sz w:val="20"/>
          <w:szCs w:val="20"/>
        </w:rPr>
        <w:t xml:space="preserve">, siendo asumida por un gran número de Estados, </w:t>
      </w:r>
      <w:r w:rsidR="009C4CE7" w:rsidRPr="008D6D6A">
        <w:rPr>
          <w:rFonts w:ascii="Verdana" w:hAnsi="Verdana" w:cs="Times New Roman"/>
          <w:sz w:val="20"/>
          <w:szCs w:val="20"/>
        </w:rPr>
        <w:t xml:space="preserve">las </w:t>
      </w:r>
      <w:r w:rsidR="00AD37E9" w:rsidRPr="008D6D6A">
        <w:rPr>
          <w:rFonts w:ascii="Verdana" w:hAnsi="Verdana" w:cs="Times New Roman"/>
          <w:sz w:val="20"/>
          <w:szCs w:val="20"/>
        </w:rPr>
        <w:t>reglas establecidas en el Reglamento sobre la Transparencia</w:t>
      </w:r>
      <w:r w:rsidR="006979B5" w:rsidRPr="008D6D6A">
        <w:rPr>
          <w:rFonts w:ascii="Verdana" w:hAnsi="Verdana" w:cs="Times New Roman"/>
          <w:sz w:val="20"/>
          <w:szCs w:val="20"/>
        </w:rPr>
        <w:t xml:space="preserve"> implicarán</w:t>
      </w:r>
      <w:r w:rsidR="009C4CE7" w:rsidRPr="008D6D6A">
        <w:rPr>
          <w:rFonts w:ascii="Verdana" w:hAnsi="Verdana" w:cs="Times New Roman"/>
          <w:sz w:val="20"/>
          <w:szCs w:val="20"/>
        </w:rPr>
        <w:t xml:space="preserve"> </w:t>
      </w:r>
      <w:r w:rsidR="00AD37E9" w:rsidRPr="008D6D6A">
        <w:rPr>
          <w:rFonts w:ascii="Verdana" w:hAnsi="Verdana" w:cs="Times New Roman"/>
          <w:sz w:val="20"/>
          <w:szCs w:val="20"/>
        </w:rPr>
        <w:t>una modificación</w:t>
      </w:r>
      <w:r w:rsidR="009C4CE7" w:rsidRPr="008D6D6A">
        <w:rPr>
          <w:rFonts w:ascii="Verdana" w:hAnsi="Verdana" w:cs="Times New Roman"/>
          <w:sz w:val="20"/>
          <w:szCs w:val="20"/>
        </w:rPr>
        <w:t xml:space="preserve"> al régimen </w:t>
      </w:r>
      <w:r w:rsidR="006852E2" w:rsidRPr="008D6D6A">
        <w:rPr>
          <w:rFonts w:ascii="Verdana" w:hAnsi="Verdana" w:cs="Times New Roman"/>
          <w:sz w:val="20"/>
          <w:szCs w:val="20"/>
        </w:rPr>
        <w:t>procedimental</w:t>
      </w:r>
      <w:r w:rsidR="006979B5" w:rsidRPr="008D6D6A">
        <w:rPr>
          <w:rFonts w:ascii="Verdana" w:hAnsi="Verdana" w:cs="Times New Roman"/>
          <w:sz w:val="20"/>
          <w:szCs w:val="20"/>
        </w:rPr>
        <w:t xml:space="preserve"> de arbitraje</w:t>
      </w:r>
      <w:r w:rsidR="009C4CE7" w:rsidRPr="008D6D6A">
        <w:rPr>
          <w:rFonts w:ascii="Verdana" w:hAnsi="Verdana" w:cs="Times New Roman"/>
          <w:sz w:val="20"/>
          <w:szCs w:val="20"/>
        </w:rPr>
        <w:t xml:space="preserve"> de inversiones</w:t>
      </w:r>
      <w:r w:rsidR="00AD37E9" w:rsidRPr="008D6D6A">
        <w:rPr>
          <w:rFonts w:ascii="Verdana" w:hAnsi="Verdana" w:cs="Times New Roman"/>
          <w:sz w:val="20"/>
          <w:szCs w:val="20"/>
        </w:rPr>
        <w:t>.</w:t>
      </w:r>
      <w:r w:rsidR="00B372A7" w:rsidRPr="008D6D6A">
        <w:rPr>
          <w:rFonts w:ascii="Verdana" w:hAnsi="Verdana" w:cs="Times New Roman"/>
          <w:sz w:val="20"/>
          <w:szCs w:val="20"/>
        </w:rPr>
        <w:t xml:space="preserve"> </w:t>
      </w:r>
      <w:r w:rsidR="006852E2" w:rsidRPr="008D6D6A">
        <w:rPr>
          <w:rFonts w:ascii="Verdana" w:hAnsi="Verdana" w:cs="Times New Roman"/>
          <w:sz w:val="20"/>
          <w:szCs w:val="20"/>
        </w:rPr>
        <w:t>M</w:t>
      </w:r>
      <w:r w:rsidR="004B12E2" w:rsidRPr="008D6D6A">
        <w:rPr>
          <w:rFonts w:ascii="Verdana" w:hAnsi="Verdana" w:cs="Times New Roman"/>
          <w:sz w:val="20"/>
          <w:szCs w:val="20"/>
        </w:rPr>
        <w:t>ientras que las Reglas de Transparencia tienen como última finalidad influir en la redacción de futuros TBI, haciendo que los mismo</w:t>
      </w:r>
      <w:r w:rsidR="003207DB" w:rsidRPr="008D6D6A">
        <w:rPr>
          <w:rFonts w:ascii="Verdana" w:hAnsi="Verdana" w:cs="Times New Roman"/>
          <w:sz w:val="20"/>
          <w:szCs w:val="20"/>
        </w:rPr>
        <w:t>s</w:t>
      </w:r>
      <w:r w:rsidR="006852E2" w:rsidRPr="008D6D6A">
        <w:rPr>
          <w:rFonts w:ascii="Verdana" w:hAnsi="Verdana" w:cs="Times New Roman"/>
          <w:sz w:val="20"/>
          <w:szCs w:val="20"/>
        </w:rPr>
        <w:t xml:space="preserve"> puedan adecuarse a lo</w:t>
      </w:r>
      <w:r w:rsidR="00F56D02" w:rsidRPr="008D6D6A">
        <w:rPr>
          <w:rFonts w:ascii="Verdana" w:hAnsi="Verdana" w:cs="Times New Roman"/>
          <w:sz w:val="20"/>
          <w:szCs w:val="20"/>
        </w:rPr>
        <w:t>s estándares de transparencia</w:t>
      </w:r>
      <w:r w:rsidR="00CA302D" w:rsidRPr="008D6D6A">
        <w:rPr>
          <w:rFonts w:ascii="Verdana" w:hAnsi="Verdana" w:cs="Times New Roman"/>
          <w:sz w:val="20"/>
          <w:szCs w:val="20"/>
        </w:rPr>
        <w:t xml:space="preserve"> establecido</w:t>
      </w:r>
      <w:r w:rsidR="004B12E2" w:rsidRPr="008D6D6A">
        <w:rPr>
          <w:rFonts w:ascii="Verdana" w:hAnsi="Verdana" w:cs="Times New Roman"/>
          <w:sz w:val="20"/>
          <w:szCs w:val="20"/>
        </w:rPr>
        <w:t>s por las propias Reglas, la Convención lo que pretende es la homogenización</w:t>
      </w:r>
      <w:r w:rsidR="00D05463" w:rsidRPr="008D6D6A">
        <w:rPr>
          <w:rFonts w:ascii="Verdana" w:hAnsi="Verdana" w:cs="Times New Roman"/>
          <w:sz w:val="20"/>
          <w:szCs w:val="20"/>
        </w:rPr>
        <w:t xml:space="preserve"> de las normas de transparencia</w:t>
      </w:r>
      <w:r w:rsidR="004B12E2" w:rsidRPr="008D6D6A">
        <w:rPr>
          <w:rFonts w:ascii="Verdana" w:hAnsi="Verdana" w:cs="Times New Roman"/>
          <w:sz w:val="20"/>
          <w:szCs w:val="20"/>
        </w:rPr>
        <w:t xml:space="preserve"> en los actuales tratados de inversión.  </w:t>
      </w:r>
    </w:p>
    <w:p w:rsidR="008C4A1E" w:rsidRPr="008D6D6A" w:rsidRDefault="001D4927"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La Convención </w:t>
      </w:r>
      <w:r w:rsidR="008C4A1E" w:rsidRPr="008D6D6A">
        <w:rPr>
          <w:rFonts w:ascii="Verdana" w:hAnsi="Verdana" w:cs="Times New Roman"/>
          <w:sz w:val="20"/>
          <w:szCs w:val="20"/>
        </w:rPr>
        <w:t>hace una incorporación por referencia del Re</w:t>
      </w:r>
      <w:r w:rsidR="008D50F1" w:rsidRPr="008D6D6A">
        <w:rPr>
          <w:rFonts w:ascii="Verdana" w:hAnsi="Verdana" w:cs="Times New Roman"/>
          <w:sz w:val="20"/>
          <w:szCs w:val="20"/>
        </w:rPr>
        <w:t>glamento sobre la Transparencia,</w:t>
      </w:r>
      <w:r w:rsidR="0072273B" w:rsidRPr="008D6D6A">
        <w:rPr>
          <w:rFonts w:ascii="Verdana" w:hAnsi="Verdana" w:cs="Times New Roman"/>
          <w:sz w:val="20"/>
          <w:szCs w:val="20"/>
        </w:rPr>
        <w:t xml:space="preserve"> y</w:t>
      </w:r>
      <w:r w:rsidR="008C4A1E" w:rsidRPr="008D6D6A">
        <w:rPr>
          <w:rFonts w:ascii="Verdana" w:hAnsi="Verdana" w:cs="Times New Roman"/>
          <w:sz w:val="20"/>
          <w:szCs w:val="20"/>
        </w:rPr>
        <w:t xml:space="preserve"> </w:t>
      </w:r>
      <w:r w:rsidR="008D50F1" w:rsidRPr="008D6D6A">
        <w:rPr>
          <w:rFonts w:ascii="Verdana" w:hAnsi="Verdana" w:cs="Times New Roman"/>
          <w:sz w:val="20"/>
          <w:szCs w:val="20"/>
        </w:rPr>
        <w:t>e</w:t>
      </w:r>
      <w:r w:rsidR="00E207A2" w:rsidRPr="008D6D6A">
        <w:rPr>
          <w:rFonts w:ascii="Verdana" w:hAnsi="Verdana" w:cs="Times New Roman"/>
          <w:sz w:val="20"/>
          <w:szCs w:val="20"/>
        </w:rPr>
        <w:t>stablece dos</w:t>
      </w:r>
      <w:r w:rsidRPr="008D6D6A">
        <w:rPr>
          <w:rFonts w:ascii="Verdana" w:hAnsi="Verdana" w:cs="Times New Roman"/>
          <w:sz w:val="20"/>
          <w:szCs w:val="20"/>
        </w:rPr>
        <w:t xml:space="preserve"> mecanismos para la aplicación del Re</w:t>
      </w:r>
      <w:r w:rsidR="00C52D5B">
        <w:rPr>
          <w:rFonts w:ascii="Verdana" w:hAnsi="Verdana" w:cs="Times New Roman"/>
          <w:sz w:val="20"/>
          <w:szCs w:val="20"/>
        </w:rPr>
        <w:t>glamento:</w:t>
      </w:r>
      <w:r w:rsidRPr="008D6D6A">
        <w:rPr>
          <w:rFonts w:ascii="Verdana" w:hAnsi="Verdana" w:cs="Times New Roman"/>
          <w:sz w:val="20"/>
          <w:szCs w:val="20"/>
        </w:rPr>
        <w:t xml:space="preserve"> el “acuerdo bilateral</w:t>
      </w:r>
      <w:r w:rsidR="00DE6863" w:rsidRPr="008D6D6A">
        <w:rPr>
          <w:rFonts w:ascii="Verdana" w:hAnsi="Verdana" w:cs="Times New Roman"/>
          <w:sz w:val="20"/>
          <w:szCs w:val="20"/>
        </w:rPr>
        <w:t xml:space="preserve"> o multilateral</w:t>
      </w:r>
      <w:r w:rsidRPr="008D6D6A">
        <w:rPr>
          <w:rFonts w:ascii="Verdana" w:hAnsi="Verdana" w:cs="Times New Roman"/>
          <w:sz w:val="20"/>
          <w:szCs w:val="20"/>
        </w:rPr>
        <w:t xml:space="preserve">” y la “oferta unilateral”. Se entiende por </w:t>
      </w:r>
      <w:r w:rsidR="00E207A2" w:rsidRPr="008D6D6A">
        <w:rPr>
          <w:rFonts w:ascii="Verdana" w:hAnsi="Verdana" w:cs="Times New Roman"/>
          <w:sz w:val="20"/>
          <w:szCs w:val="20"/>
        </w:rPr>
        <w:t>“</w:t>
      </w:r>
      <w:r w:rsidRPr="008D6D6A">
        <w:rPr>
          <w:rFonts w:ascii="Verdana" w:hAnsi="Verdana" w:cs="Times New Roman"/>
          <w:sz w:val="20"/>
          <w:szCs w:val="20"/>
        </w:rPr>
        <w:t>acuerdo bilateral</w:t>
      </w:r>
      <w:r w:rsidR="00E207A2" w:rsidRPr="008D6D6A">
        <w:rPr>
          <w:rFonts w:ascii="Verdana" w:hAnsi="Verdana" w:cs="Times New Roman"/>
          <w:sz w:val="20"/>
          <w:szCs w:val="20"/>
        </w:rPr>
        <w:t>”</w:t>
      </w:r>
      <w:r w:rsidRPr="008D6D6A">
        <w:rPr>
          <w:rFonts w:ascii="Verdana" w:hAnsi="Verdana" w:cs="Times New Roman"/>
          <w:sz w:val="20"/>
          <w:szCs w:val="20"/>
        </w:rPr>
        <w:t xml:space="preserve"> la situación en la que el Estado demandado y el Estado del inversor</w:t>
      </w:r>
      <w:r w:rsidR="00DE6863" w:rsidRPr="008D6D6A">
        <w:rPr>
          <w:rFonts w:ascii="Verdana" w:hAnsi="Verdana" w:cs="Times New Roman"/>
          <w:sz w:val="20"/>
          <w:szCs w:val="20"/>
        </w:rPr>
        <w:t xml:space="preserve"> son partes en el Convenio, o sea</w:t>
      </w:r>
      <w:r w:rsidR="008D50F1" w:rsidRPr="008D6D6A">
        <w:rPr>
          <w:rFonts w:ascii="Verdana" w:hAnsi="Verdana" w:cs="Times New Roman"/>
          <w:sz w:val="20"/>
          <w:szCs w:val="20"/>
        </w:rPr>
        <w:t>,</w:t>
      </w:r>
      <w:r w:rsidR="00DE6863" w:rsidRPr="008D6D6A">
        <w:rPr>
          <w:rFonts w:ascii="Verdana" w:hAnsi="Verdana" w:cs="Times New Roman"/>
          <w:sz w:val="20"/>
          <w:szCs w:val="20"/>
        </w:rPr>
        <w:t xml:space="preserve"> cuando ambas o más partes de un TBI ratifican la Convención</w:t>
      </w:r>
      <w:r w:rsidR="00701DF7" w:rsidRPr="008D6D6A">
        <w:rPr>
          <w:rStyle w:val="Refdenotaalpie"/>
          <w:rFonts w:ascii="Verdana" w:hAnsi="Verdana" w:cs="Times New Roman"/>
          <w:sz w:val="20"/>
          <w:szCs w:val="20"/>
        </w:rPr>
        <w:footnoteReference w:id="139"/>
      </w:r>
      <w:r w:rsidR="00701DF7" w:rsidRPr="008D6D6A">
        <w:rPr>
          <w:rFonts w:ascii="Verdana" w:hAnsi="Verdana" w:cs="Times New Roman"/>
          <w:sz w:val="20"/>
          <w:szCs w:val="20"/>
        </w:rPr>
        <w:t xml:space="preserve">. </w:t>
      </w:r>
      <w:r w:rsidR="00C52D5B">
        <w:rPr>
          <w:rFonts w:ascii="Verdana" w:hAnsi="Verdana" w:cs="Times New Roman"/>
          <w:sz w:val="20"/>
          <w:szCs w:val="20"/>
        </w:rPr>
        <w:lastRenderedPageBreak/>
        <w:t>Al respecto</w:t>
      </w:r>
      <w:r w:rsidRPr="008D6D6A">
        <w:rPr>
          <w:rFonts w:ascii="Verdana" w:hAnsi="Verdana" w:cs="Times New Roman"/>
          <w:sz w:val="20"/>
          <w:szCs w:val="20"/>
        </w:rPr>
        <w:t>,</w:t>
      </w:r>
      <w:r w:rsidR="00701DF7" w:rsidRPr="008D6D6A">
        <w:rPr>
          <w:rFonts w:ascii="Verdana" w:hAnsi="Verdana" w:cs="Times New Roman"/>
          <w:sz w:val="20"/>
          <w:szCs w:val="20"/>
        </w:rPr>
        <w:t xml:space="preserve"> presumiendo</w:t>
      </w:r>
      <w:r w:rsidRPr="008D6D6A">
        <w:rPr>
          <w:rFonts w:ascii="Verdana" w:hAnsi="Verdana" w:cs="Times New Roman"/>
          <w:sz w:val="20"/>
          <w:szCs w:val="20"/>
        </w:rPr>
        <w:t xml:space="preserve"> que ninguno </w:t>
      </w:r>
      <w:r w:rsidR="00A35845" w:rsidRPr="008D6D6A">
        <w:rPr>
          <w:rFonts w:ascii="Verdana" w:hAnsi="Verdana" w:cs="Times New Roman"/>
          <w:sz w:val="20"/>
          <w:szCs w:val="20"/>
        </w:rPr>
        <w:t>de los Estados haya formulado l</w:t>
      </w:r>
      <w:r w:rsidRPr="008D6D6A">
        <w:rPr>
          <w:rFonts w:ascii="Verdana" w:hAnsi="Verdana" w:cs="Times New Roman"/>
          <w:sz w:val="20"/>
          <w:szCs w:val="20"/>
        </w:rPr>
        <w:t>a r</w:t>
      </w:r>
      <w:r w:rsidR="00701DF7" w:rsidRPr="008D6D6A">
        <w:rPr>
          <w:rFonts w:ascii="Verdana" w:hAnsi="Verdana" w:cs="Times New Roman"/>
          <w:sz w:val="20"/>
          <w:szCs w:val="20"/>
        </w:rPr>
        <w:t>eserva pertinente, las Reglas sobre la</w:t>
      </w:r>
      <w:r w:rsidRPr="008D6D6A">
        <w:rPr>
          <w:rFonts w:ascii="Verdana" w:hAnsi="Verdana" w:cs="Times New Roman"/>
          <w:sz w:val="20"/>
          <w:szCs w:val="20"/>
        </w:rPr>
        <w:t xml:space="preserve"> Transparencia de la CNUDMI se aplicarán a cualquier arbitraje inversor-Estado entablado en virtud del tratado de inversión pertinente, ya sea de conformidad con las normas de la CNUDMI o algunas otras normas arbitrales. </w:t>
      </w:r>
      <w:r w:rsidR="00701DF7" w:rsidRPr="008D6D6A">
        <w:rPr>
          <w:rFonts w:ascii="Verdana" w:hAnsi="Verdana" w:cs="Times New Roman"/>
          <w:sz w:val="20"/>
          <w:szCs w:val="20"/>
        </w:rPr>
        <w:t xml:space="preserve">En relación a la “oferta unilateral”, </w:t>
      </w:r>
      <w:r w:rsidRPr="008D6D6A">
        <w:rPr>
          <w:rFonts w:ascii="Verdana" w:hAnsi="Verdana" w:cs="Times New Roman"/>
          <w:sz w:val="20"/>
          <w:szCs w:val="20"/>
        </w:rPr>
        <w:t>se refiere a la</w:t>
      </w:r>
      <w:r w:rsidR="00C52D5B">
        <w:rPr>
          <w:rFonts w:ascii="Verdana" w:hAnsi="Verdana" w:cs="Times New Roman"/>
          <w:sz w:val="20"/>
          <w:szCs w:val="20"/>
        </w:rPr>
        <w:t xml:space="preserve"> situación en la que el Estado D</w:t>
      </w:r>
      <w:r w:rsidRPr="008D6D6A">
        <w:rPr>
          <w:rFonts w:ascii="Verdana" w:hAnsi="Verdana" w:cs="Times New Roman"/>
          <w:sz w:val="20"/>
          <w:szCs w:val="20"/>
        </w:rPr>
        <w:t xml:space="preserve">emandado es parte en la Convención, pero </w:t>
      </w:r>
      <w:r w:rsidR="008D50F1" w:rsidRPr="008D6D6A">
        <w:rPr>
          <w:rFonts w:ascii="Verdana" w:hAnsi="Verdana" w:cs="Times New Roman"/>
          <w:sz w:val="20"/>
          <w:szCs w:val="20"/>
        </w:rPr>
        <w:t>el D</w:t>
      </w:r>
      <w:r w:rsidR="00F21815" w:rsidRPr="008D6D6A">
        <w:rPr>
          <w:rFonts w:ascii="Verdana" w:hAnsi="Verdana" w:cs="Times New Roman"/>
          <w:sz w:val="20"/>
          <w:szCs w:val="20"/>
        </w:rPr>
        <w:t>emandante</w:t>
      </w:r>
      <w:r w:rsidRPr="008D6D6A">
        <w:rPr>
          <w:rFonts w:ascii="Verdana" w:hAnsi="Verdana" w:cs="Times New Roman"/>
          <w:sz w:val="20"/>
          <w:szCs w:val="20"/>
        </w:rPr>
        <w:t xml:space="preserve"> </w:t>
      </w:r>
      <w:r w:rsidR="00F21815" w:rsidRPr="008D6D6A">
        <w:rPr>
          <w:rFonts w:ascii="Verdana" w:hAnsi="Verdana" w:cs="Times New Roman"/>
          <w:sz w:val="20"/>
          <w:szCs w:val="20"/>
        </w:rPr>
        <w:t>(</w:t>
      </w:r>
      <w:r w:rsidRPr="008D6D6A">
        <w:rPr>
          <w:rFonts w:ascii="Verdana" w:hAnsi="Verdana" w:cs="Times New Roman"/>
          <w:sz w:val="20"/>
          <w:szCs w:val="20"/>
        </w:rPr>
        <w:t>Estado del inversor</w:t>
      </w:r>
      <w:r w:rsidR="00F21815" w:rsidRPr="008D6D6A">
        <w:rPr>
          <w:rFonts w:ascii="Verdana" w:hAnsi="Verdana" w:cs="Times New Roman"/>
          <w:sz w:val="20"/>
          <w:szCs w:val="20"/>
        </w:rPr>
        <w:t>)</w:t>
      </w:r>
      <w:r w:rsidR="00E66532" w:rsidRPr="008D6D6A">
        <w:rPr>
          <w:rFonts w:ascii="Verdana" w:hAnsi="Verdana" w:cs="Times New Roman"/>
          <w:sz w:val="20"/>
          <w:szCs w:val="20"/>
        </w:rPr>
        <w:t xml:space="preserve"> </w:t>
      </w:r>
      <w:r w:rsidRPr="008D6D6A">
        <w:rPr>
          <w:rFonts w:ascii="Verdana" w:hAnsi="Verdana" w:cs="Times New Roman"/>
          <w:sz w:val="20"/>
          <w:szCs w:val="20"/>
        </w:rPr>
        <w:t>no</w:t>
      </w:r>
      <w:r w:rsidR="00F21815" w:rsidRPr="008D6D6A">
        <w:rPr>
          <w:rFonts w:ascii="Verdana" w:hAnsi="Verdana" w:cs="Times New Roman"/>
          <w:sz w:val="20"/>
          <w:szCs w:val="20"/>
        </w:rPr>
        <w:t>.</w:t>
      </w:r>
      <w:r w:rsidR="00DE6863" w:rsidRPr="008D6D6A">
        <w:rPr>
          <w:rFonts w:ascii="Verdana" w:hAnsi="Verdana" w:cs="Times New Roman"/>
          <w:sz w:val="20"/>
          <w:szCs w:val="20"/>
        </w:rPr>
        <w:t xml:space="preserve"> </w:t>
      </w:r>
      <w:r w:rsidR="00E66532" w:rsidRPr="008D6D6A">
        <w:rPr>
          <w:rFonts w:ascii="Verdana" w:hAnsi="Verdana" w:cs="Times New Roman"/>
          <w:sz w:val="20"/>
          <w:szCs w:val="20"/>
        </w:rPr>
        <w:t xml:space="preserve">Al respecto, suponiendo que no </w:t>
      </w:r>
      <w:r w:rsidR="00A35845" w:rsidRPr="008D6D6A">
        <w:rPr>
          <w:rFonts w:ascii="Verdana" w:hAnsi="Verdana" w:cs="Times New Roman"/>
          <w:sz w:val="20"/>
          <w:szCs w:val="20"/>
        </w:rPr>
        <w:t>exista la consabida</w:t>
      </w:r>
      <w:r w:rsidRPr="008D6D6A">
        <w:rPr>
          <w:rFonts w:ascii="Verdana" w:hAnsi="Verdana" w:cs="Times New Roman"/>
          <w:sz w:val="20"/>
          <w:szCs w:val="20"/>
        </w:rPr>
        <w:t xml:space="preserve"> </w:t>
      </w:r>
      <w:r w:rsidR="00A35845" w:rsidRPr="008D6D6A">
        <w:rPr>
          <w:rFonts w:ascii="Verdana" w:hAnsi="Verdana" w:cs="Times New Roman"/>
          <w:sz w:val="20"/>
          <w:szCs w:val="20"/>
        </w:rPr>
        <w:t>reser</w:t>
      </w:r>
      <w:r w:rsidR="00E66532" w:rsidRPr="008D6D6A">
        <w:rPr>
          <w:rFonts w:ascii="Verdana" w:hAnsi="Verdana" w:cs="Times New Roman"/>
          <w:sz w:val="20"/>
          <w:szCs w:val="20"/>
        </w:rPr>
        <w:t xml:space="preserve">va, el Reglamento sobre la </w:t>
      </w:r>
      <w:r w:rsidRPr="008D6D6A">
        <w:rPr>
          <w:rFonts w:ascii="Verdana" w:hAnsi="Verdana" w:cs="Times New Roman"/>
          <w:sz w:val="20"/>
          <w:szCs w:val="20"/>
        </w:rPr>
        <w:t>Transparencia de la CNUDMI se aplicará solo si el inversionista reclamante está de</w:t>
      </w:r>
      <w:r w:rsidR="00E66532" w:rsidRPr="008D6D6A">
        <w:rPr>
          <w:rFonts w:ascii="Verdana" w:hAnsi="Verdana" w:cs="Times New Roman"/>
          <w:sz w:val="20"/>
          <w:szCs w:val="20"/>
        </w:rPr>
        <w:t xml:space="preserve"> acuerdo</w:t>
      </w:r>
      <w:r w:rsidR="00E66532" w:rsidRPr="008D6D6A">
        <w:rPr>
          <w:rStyle w:val="Refdenotaalpie"/>
          <w:rFonts w:ascii="Verdana" w:hAnsi="Verdana" w:cs="Times New Roman"/>
          <w:sz w:val="20"/>
          <w:szCs w:val="20"/>
        </w:rPr>
        <w:footnoteReference w:id="140"/>
      </w:r>
      <w:r w:rsidR="00E66532" w:rsidRPr="008D6D6A">
        <w:rPr>
          <w:rFonts w:ascii="Verdana" w:hAnsi="Verdana" w:cs="Times New Roman"/>
          <w:sz w:val="20"/>
          <w:szCs w:val="20"/>
        </w:rPr>
        <w:t>.</w:t>
      </w:r>
      <w:r w:rsidR="008C4A1E" w:rsidRPr="008D6D6A">
        <w:rPr>
          <w:rFonts w:ascii="Verdana" w:hAnsi="Verdana" w:cs="Times New Roman"/>
          <w:sz w:val="20"/>
          <w:szCs w:val="20"/>
        </w:rPr>
        <w:t xml:space="preserve"> </w:t>
      </w:r>
      <w:r w:rsidR="00D557B6" w:rsidRPr="008D6D6A">
        <w:rPr>
          <w:rFonts w:ascii="Verdana" w:hAnsi="Verdana" w:cs="Times New Roman"/>
          <w:sz w:val="20"/>
          <w:szCs w:val="20"/>
        </w:rPr>
        <w:t xml:space="preserve"> Estos mecanismos de aplicación pueden verse restringidos en su radio de acción o completamente fracasados, teniendo en cuenta el amplio margen de reservas que establece la propia Convención. </w:t>
      </w:r>
    </w:p>
    <w:p w:rsidR="009034A1" w:rsidRPr="008D6D6A" w:rsidRDefault="00DF7482"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En el conjunto de preceptos que conforman la </w:t>
      </w:r>
      <w:r w:rsidR="009034A1" w:rsidRPr="008D6D6A">
        <w:rPr>
          <w:rFonts w:ascii="Verdana" w:hAnsi="Verdana" w:cs="Times New Roman"/>
          <w:sz w:val="20"/>
          <w:szCs w:val="20"/>
        </w:rPr>
        <w:t xml:space="preserve">Convención </w:t>
      </w:r>
      <w:r w:rsidRPr="008D6D6A">
        <w:rPr>
          <w:rFonts w:ascii="Verdana" w:hAnsi="Verdana" w:cs="Times New Roman"/>
          <w:sz w:val="20"/>
          <w:szCs w:val="20"/>
        </w:rPr>
        <w:t xml:space="preserve">se </w:t>
      </w:r>
      <w:r w:rsidR="009034A1" w:rsidRPr="008D6D6A">
        <w:rPr>
          <w:rFonts w:ascii="Verdana" w:hAnsi="Verdana" w:cs="Times New Roman"/>
          <w:sz w:val="20"/>
          <w:szCs w:val="20"/>
        </w:rPr>
        <w:t>establece</w:t>
      </w:r>
      <w:r w:rsidRPr="008D6D6A">
        <w:rPr>
          <w:rFonts w:ascii="Verdana" w:hAnsi="Verdana" w:cs="Times New Roman"/>
          <w:sz w:val="20"/>
          <w:szCs w:val="20"/>
        </w:rPr>
        <w:t>n</w:t>
      </w:r>
      <w:r w:rsidR="009034A1" w:rsidRPr="008D6D6A">
        <w:rPr>
          <w:rFonts w:ascii="Verdana" w:hAnsi="Verdana" w:cs="Times New Roman"/>
          <w:sz w:val="20"/>
          <w:szCs w:val="20"/>
        </w:rPr>
        <w:t xml:space="preserve"> tres reservas que los Estados pueden formular respecto de su aceptación</w:t>
      </w:r>
      <w:r w:rsidR="00F21815" w:rsidRPr="008D6D6A">
        <w:rPr>
          <w:rFonts w:ascii="Verdana" w:hAnsi="Verdana" w:cs="Times New Roman"/>
          <w:sz w:val="20"/>
          <w:szCs w:val="20"/>
        </w:rPr>
        <w:t xml:space="preserve">: </w:t>
      </w:r>
      <w:r w:rsidR="009034A1" w:rsidRPr="008D6D6A">
        <w:rPr>
          <w:rFonts w:ascii="Verdana" w:hAnsi="Verdana" w:cs="Times New Roman"/>
          <w:sz w:val="20"/>
          <w:szCs w:val="20"/>
        </w:rPr>
        <w:t>i)  un Estado puede indicar tratados de inversión específicos a los q</w:t>
      </w:r>
      <w:r w:rsidRPr="008D6D6A">
        <w:rPr>
          <w:rFonts w:ascii="Verdana" w:hAnsi="Verdana" w:cs="Times New Roman"/>
          <w:sz w:val="20"/>
          <w:szCs w:val="20"/>
        </w:rPr>
        <w:t>ue no se aplicará la Convención</w:t>
      </w:r>
      <w:r w:rsidRPr="008D6D6A">
        <w:rPr>
          <w:rStyle w:val="Refdenotaalpie"/>
          <w:rFonts w:ascii="Verdana" w:hAnsi="Verdana" w:cs="Times New Roman"/>
          <w:sz w:val="20"/>
          <w:szCs w:val="20"/>
        </w:rPr>
        <w:footnoteReference w:id="141"/>
      </w:r>
      <w:r w:rsidRPr="008D6D6A">
        <w:rPr>
          <w:rFonts w:ascii="Verdana" w:hAnsi="Verdana" w:cs="Times New Roman"/>
          <w:sz w:val="20"/>
          <w:szCs w:val="20"/>
        </w:rPr>
        <w:t>; ii)</w:t>
      </w:r>
      <w:r w:rsidR="009034A1" w:rsidRPr="008D6D6A">
        <w:rPr>
          <w:rFonts w:ascii="Verdana" w:hAnsi="Verdana" w:cs="Times New Roman"/>
          <w:sz w:val="20"/>
          <w:szCs w:val="20"/>
        </w:rPr>
        <w:t xml:space="preserve"> un Estado puede declarar qu</w:t>
      </w:r>
      <w:r w:rsidR="007235CA" w:rsidRPr="008D6D6A">
        <w:rPr>
          <w:rFonts w:ascii="Verdana" w:hAnsi="Verdana" w:cs="Times New Roman"/>
          <w:sz w:val="20"/>
          <w:szCs w:val="20"/>
        </w:rPr>
        <w:t>e las Reglas de Transparencia</w:t>
      </w:r>
      <w:r w:rsidR="009034A1" w:rsidRPr="008D6D6A">
        <w:rPr>
          <w:rFonts w:ascii="Verdana" w:hAnsi="Verdana" w:cs="Times New Roman"/>
          <w:sz w:val="20"/>
          <w:szCs w:val="20"/>
        </w:rPr>
        <w:t xml:space="preserve"> no se aplicará</w:t>
      </w:r>
      <w:r w:rsidR="008D50F1" w:rsidRPr="008D6D6A">
        <w:rPr>
          <w:rFonts w:ascii="Verdana" w:hAnsi="Verdana" w:cs="Times New Roman"/>
          <w:sz w:val="20"/>
          <w:szCs w:val="20"/>
        </w:rPr>
        <w:t>n</w:t>
      </w:r>
      <w:r w:rsidR="009034A1" w:rsidRPr="008D6D6A">
        <w:rPr>
          <w:rFonts w:ascii="Verdana" w:hAnsi="Verdana" w:cs="Times New Roman"/>
          <w:sz w:val="20"/>
          <w:szCs w:val="20"/>
        </w:rPr>
        <w:t xml:space="preserve"> a arbitrajes conducidos bajo reglas distintas a las Reglas de la CNUDMI</w:t>
      </w:r>
      <w:r w:rsidR="00F21815" w:rsidRPr="008D6D6A">
        <w:rPr>
          <w:rFonts w:ascii="Verdana" w:hAnsi="Verdana" w:cs="Times New Roman"/>
          <w:sz w:val="20"/>
          <w:szCs w:val="20"/>
        </w:rPr>
        <w:t>, por ejemplo</w:t>
      </w:r>
      <w:r w:rsidRPr="008D6D6A">
        <w:rPr>
          <w:rFonts w:ascii="Verdana" w:hAnsi="Verdana" w:cs="Times New Roman"/>
          <w:sz w:val="20"/>
          <w:szCs w:val="20"/>
        </w:rPr>
        <w:t xml:space="preserve"> </w:t>
      </w:r>
      <w:r w:rsidR="008D50F1" w:rsidRPr="008D6D6A">
        <w:rPr>
          <w:rFonts w:ascii="Verdana" w:hAnsi="Verdana" w:cs="Times New Roman"/>
          <w:sz w:val="20"/>
          <w:szCs w:val="20"/>
        </w:rPr>
        <w:t xml:space="preserve">las Reglas del </w:t>
      </w:r>
      <w:r w:rsidRPr="008D6D6A">
        <w:rPr>
          <w:rFonts w:ascii="Verdana" w:hAnsi="Verdana" w:cs="Times New Roman"/>
          <w:sz w:val="20"/>
          <w:szCs w:val="20"/>
        </w:rPr>
        <w:t>CIADI</w:t>
      </w:r>
      <w:r w:rsidRPr="008D6D6A">
        <w:rPr>
          <w:rStyle w:val="Refdenotaalpie"/>
          <w:rFonts w:ascii="Verdana" w:hAnsi="Verdana" w:cs="Times New Roman"/>
          <w:sz w:val="20"/>
          <w:szCs w:val="20"/>
        </w:rPr>
        <w:footnoteReference w:id="142"/>
      </w:r>
      <w:r w:rsidR="007235CA" w:rsidRPr="008D6D6A">
        <w:rPr>
          <w:rFonts w:ascii="Verdana" w:hAnsi="Verdana" w:cs="Times New Roman"/>
          <w:sz w:val="20"/>
          <w:szCs w:val="20"/>
        </w:rPr>
        <w:t xml:space="preserve"> y</w:t>
      </w:r>
      <w:r w:rsidRPr="008D6D6A">
        <w:rPr>
          <w:rFonts w:ascii="Verdana" w:hAnsi="Verdana" w:cs="Times New Roman"/>
          <w:sz w:val="20"/>
          <w:szCs w:val="20"/>
        </w:rPr>
        <w:t xml:space="preserve"> iii) </w:t>
      </w:r>
      <w:r w:rsidR="009034A1" w:rsidRPr="008D6D6A">
        <w:rPr>
          <w:rFonts w:ascii="Verdana" w:hAnsi="Verdana" w:cs="Times New Roman"/>
          <w:sz w:val="20"/>
          <w:szCs w:val="20"/>
        </w:rPr>
        <w:t>un Estado puede declarar que las Reglas de Transparencia de la CNUDMI no se aplicarán en los arb</w:t>
      </w:r>
      <w:r w:rsidRPr="008D6D6A">
        <w:rPr>
          <w:rFonts w:ascii="Verdana" w:hAnsi="Verdana" w:cs="Times New Roman"/>
          <w:sz w:val="20"/>
          <w:szCs w:val="20"/>
        </w:rPr>
        <w:t>itrajes entre inversionistas y E</w:t>
      </w:r>
      <w:r w:rsidR="009034A1" w:rsidRPr="008D6D6A">
        <w:rPr>
          <w:rFonts w:ascii="Verdana" w:hAnsi="Verdana" w:cs="Times New Roman"/>
          <w:sz w:val="20"/>
          <w:szCs w:val="20"/>
        </w:rPr>
        <w:t>sta</w:t>
      </w:r>
      <w:r w:rsidR="00C52D5B">
        <w:rPr>
          <w:rFonts w:ascii="Verdana" w:hAnsi="Verdana" w:cs="Times New Roman"/>
          <w:sz w:val="20"/>
          <w:szCs w:val="20"/>
        </w:rPr>
        <w:t>do</w:t>
      </w:r>
      <w:r w:rsidRPr="008D6D6A">
        <w:rPr>
          <w:rFonts w:ascii="Verdana" w:hAnsi="Verdana" w:cs="Times New Roman"/>
          <w:sz w:val="20"/>
          <w:szCs w:val="20"/>
        </w:rPr>
        <w:t xml:space="preserve"> en los que es </w:t>
      </w:r>
      <w:r w:rsidR="007235CA" w:rsidRPr="008D6D6A">
        <w:rPr>
          <w:rFonts w:ascii="Verdana" w:hAnsi="Verdana" w:cs="Times New Roman"/>
          <w:sz w:val="20"/>
          <w:szCs w:val="20"/>
        </w:rPr>
        <w:t>demandado</w:t>
      </w:r>
      <w:r w:rsidRPr="008D6D6A">
        <w:rPr>
          <w:rStyle w:val="Refdenotaalpie"/>
          <w:rFonts w:ascii="Verdana" w:hAnsi="Verdana" w:cs="Times New Roman"/>
          <w:sz w:val="20"/>
          <w:szCs w:val="20"/>
        </w:rPr>
        <w:footnoteReference w:id="143"/>
      </w:r>
      <w:r w:rsidRPr="008D6D6A">
        <w:rPr>
          <w:rFonts w:ascii="Verdana" w:hAnsi="Verdana" w:cs="Times New Roman"/>
          <w:sz w:val="20"/>
          <w:szCs w:val="20"/>
        </w:rPr>
        <w:t>.</w:t>
      </w:r>
    </w:p>
    <w:p w:rsidR="008604DF" w:rsidRPr="008D6D6A" w:rsidRDefault="00C24BE3"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Sin embargo, </w:t>
      </w:r>
      <w:r w:rsidR="0071181F" w:rsidRPr="008D6D6A">
        <w:rPr>
          <w:rFonts w:ascii="Verdana" w:hAnsi="Verdana" w:cs="Times New Roman"/>
          <w:sz w:val="20"/>
          <w:szCs w:val="20"/>
        </w:rPr>
        <w:t xml:space="preserve">con solo mirar el reducido número </w:t>
      </w:r>
      <w:r w:rsidR="00A6105C" w:rsidRPr="008D6D6A">
        <w:rPr>
          <w:rFonts w:ascii="Verdana" w:hAnsi="Verdana" w:cs="Times New Roman"/>
          <w:sz w:val="20"/>
          <w:szCs w:val="20"/>
        </w:rPr>
        <w:t xml:space="preserve">de Estados </w:t>
      </w:r>
      <w:r w:rsidR="008D50F1" w:rsidRPr="008D6D6A">
        <w:rPr>
          <w:rFonts w:ascii="Verdana" w:hAnsi="Verdana" w:cs="Times New Roman"/>
          <w:sz w:val="20"/>
          <w:szCs w:val="20"/>
        </w:rPr>
        <w:t>P</w:t>
      </w:r>
      <w:r w:rsidR="00A6105C" w:rsidRPr="008D6D6A">
        <w:rPr>
          <w:rFonts w:ascii="Verdana" w:hAnsi="Verdana" w:cs="Times New Roman"/>
          <w:sz w:val="20"/>
          <w:szCs w:val="20"/>
        </w:rPr>
        <w:t>artes de la Convención</w:t>
      </w:r>
      <w:r w:rsidR="008604DF" w:rsidRPr="008D6D6A">
        <w:rPr>
          <w:rFonts w:ascii="Verdana" w:hAnsi="Verdana" w:cs="Times New Roman"/>
          <w:sz w:val="20"/>
          <w:szCs w:val="20"/>
        </w:rPr>
        <w:t xml:space="preserve"> (</w:t>
      </w:r>
      <w:r w:rsidR="004E5D01" w:rsidRPr="008D6D6A">
        <w:rPr>
          <w:rFonts w:ascii="Verdana" w:hAnsi="Verdana" w:cs="Times New Roman"/>
          <w:sz w:val="20"/>
          <w:szCs w:val="20"/>
        </w:rPr>
        <w:t xml:space="preserve">Camerún, Canadá, Gambia, Mauricio </w:t>
      </w:r>
      <w:r w:rsidR="00F15C6E" w:rsidRPr="008D6D6A">
        <w:rPr>
          <w:rFonts w:ascii="Verdana" w:hAnsi="Verdana" w:cs="Times New Roman"/>
          <w:sz w:val="20"/>
          <w:szCs w:val="20"/>
        </w:rPr>
        <w:t>y Suiza</w:t>
      </w:r>
      <w:r w:rsidRPr="008D6D6A">
        <w:rPr>
          <w:rStyle w:val="Refdenotaalpie"/>
          <w:rFonts w:ascii="Verdana" w:hAnsi="Verdana" w:cs="Times New Roman"/>
          <w:sz w:val="20"/>
          <w:szCs w:val="20"/>
        </w:rPr>
        <w:footnoteReference w:id="144"/>
      </w:r>
      <w:r w:rsidR="008604DF" w:rsidRPr="008D6D6A">
        <w:rPr>
          <w:rFonts w:ascii="Verdana" w:hAnsi="Verdana" w:cs="Times New Roman"/>
          <w:sz w:val="20"/>
          <w:szCs w:val="20"/>
        </w:rPr>
        <w:t>)</w:t>
      </w:r>
      <w:r w:rsidR="009B3C38" w:rsidRPr="008D6D6A">
        <w:rPr>
          <w:rFonts w:ascii="Verdana" w:hAnsi="Verdana" w:cs="Times New Roman"/>
          <w:sz w:val="20"/>
          <w:szCs w:val="20"/>
        </w:rPr>
        <w:t>, y con</w:t>
      </w:r>
      <w:r w:rsidRPr="008D6D6A">
        <w:rPr>
          <w:rFonts w:ascii="Verdana" w:hAnsi="Verdana" w:cs="Times New Roman"/>
          <w:sz w:val="20"/>
          <w:szCs w:val="20"/>
        </w:rPr>
        <w:t xml:space="preserve"> una simple lectura del texto de la</w:t>
      </w:r>
      <w:r w:rsidR="00A6105C" w:rsidRPr="008D6D6A">
        <w:rPr>
          <w:rFonts w:ascii="Verdana" w:hAnsi="Verdana" w:cs="Times New Roman"/>
          <w:sz w:val="20"/>
          <w:szCs w:val="20"/>
        </w:rPr>
        <w:t xml:space="preserve"> misma</w:t>
      </w:r>
      <w:r w:rsidR="009B3C38" w:rsidRPr="008D6D6A">
        <w:rPr>
          <w:rFonts w:ascii="Verdana" w:hAnsi="Verdana" w:cs="Times New Roman"/>
          <w:sz w:val="20"/>
          <w:szCs w:val="20"/>
        </w:rPr>
        <w:t>, nos resulta</w:t>
      </w:r>
      <w:r w:rsidR="006C7E44" w:rsidRPr="008D6D6A">
        <w:rPr>
          <w:rFonts w:ascii="Verdana" w:hAnsi="Verdana" w:cs="Times New Roman"/>
          <w:sz w:val="20"/>
          <w:szCs w:val="20"/>
        </w:rPr>
        <w:t xml:space="preserve"> suficiente</w:t>
      </w:r>
      <w:r w:rsidRPr="008D6D6A">
        <w:rPr>
          <w:rFonts w:ascii="Verdana" w:hAnsi="Verdana" w:cs="Times New Roman"/>
          <w:sz w:val="20"/>
          <w:szCs w:val="20"/>
        </w:rPr>
        <w:t xml:space="preserve"> par</w:t>
      </w:r>
      <w:r w:rsidR="00A6105C" w:rsidRPr="008D6D6A">
        <w:rPr>
          <w:rFonts w:ascii="Verdana" w:hAnsi="Verdana" w:cs="Times New Roman"/>
          <w:sz w:val="20"/>
          <w:szCs w:val="20"/>
        </w:rPr>
        <w:t>a percatarnos de que la búsqueda</w:t>
      </w:r>
      <w:r w:rsidRPr="008D6D6A">
        <w:rPr>
          <w:rFonts w:ascii="Verdana" w:hAnsi="Verdana" w:cs="Times New Roman"/>
          <w:sz w:val="20"/>
          <w:szCs w:val="20"/>
        </w:rPr>
        <w:t xml:space="preserve"> de su principal objetivo, a día de hoy</w:t>
      </w:r>
      <w:r w:rsidR="00F15C6E" w:rsidRPr="008D6D6A">
        <w:rPr>
          <w:rFonts w:ascii="Verdana" w:hAnsi="Verdana" w:cs="Times New Roman"/>
          <w:sz w:val="20"/>
          <w:szCs w:val="20"/>
        </w:rPr>
        <w:t>,</w:t>
      </w:r>
      <w:r w:rsidRPr="008D6D6A">
        <w:rPr>
          <w:rFonts w:ascii="Verdana" w:hAnsi="Verdana" w:cs="Times New Roman"/>
          <w:sz w:val="20"/>
          <w:szCs w:val="20"/>
        </w:rPr>
        <w:t xml:space="preserve"> es más que fallid</w:t>
      </w:r>
      <w:r w:rsidR="004A0CC7" w:rsidRPr="008D6D6A">
        <w:rPr>
          <w:rFonts w:ascii="Verdana" w:hAnsi="Verdana" w:cs="Times New Roman"/>
          <w:sz w:val="20"/>
          <w:szCs w:val="20"/>
        </w:rPr>
        <w:t>a</w:t>
      </w:r>
      <w:r w:rsidR="009A68BC" w:rsidRPr="008D6D6A">
        <w:rPr>
          <w:rFonts w:ascii="Verdana" w:hAnsi="Verdana" w:cs="Times New Roman"/>
          <w:sz w:val="20"/>
          <w:szCs w:val="20"/>
        </w:rPr>
        <w:t>,</w:t>
      </w:r>
      <w:r w:rsidRPr="008D6D6A">
        <w:rPr>
          <w:rFonts w:ascii="Verdana" w:hAnsi="Verdana" w:cs="Times New Roman"/>
          <w:sz w:val="20"/>
          <w:szCs w:val="20"/>
        </w:rPr>
        <w:t xml:space="preserve"> </w:t>
      </w:r>
      <w:r w:rsidR="009A68BC" w:rsidRPr="008D6D6A">
        <w:rPr>
          <w:rFonts w:ascii="Verdana" w:hAnsi="Verdana" w:cs="Times New Roman"/>
          <w:sz w:val="20"/>
          <w:szCs w:val="20"/>
        </w:rPr>
        <w:t>l</w:t>
      </w:r>
      <w:r w:rsidR="0071181F" w:rsidRPr="008D6D6A">
        <w:rPr>
          <w:rFonts w:ascii="Verdana" w:hAnsi="Verdana" w:cs="Times New Roman"/>
          <w:sz w:val="20"/>
          <w:szCs w:val="20"/>
        </w:rPr>
        <w:t>o que demuestra que</w:t>
      </w:r>
      <w:r w:rsidR="009A68BC" w:rsidRPr="008D6D6A">
        <w:rPr>
          <w:rFonts w:ascii="Verdana" w:hAnsi="Verdana" w:cs="Times New Roman"/>
          <w:sz w:val="20"/>
          <w:szCs w:val="20"/>
        </w:rPr>
        <w:t>,</w:t>
      </w:r>
      <w:r w:rsidR="0071181F" w:rsidRPr="008D6D6A">
        <w:rPr>
          <w:rFonts w:ascii="Verdana" w:hAnsi="Verdana" w:cs="Times New Roman"/>
          <w:sz w:val="20"/>
          <w:szCs w:val="20"/>
        </w:rPr>
        <w:t xml:space="preserve"> si bien la CNUDMI ha most</w:t>
      </w:r>
      <w:r w:rsidR="004A0CC7" w:rsidRPr="008D6D6A">
        <w:rPr>
          <w:rFonts w:ascii="Verdana" w:hAnsi="Verdana" w:cs="Times New Roman"/>
          <w:sz w:val="20"/>
          <w:szCs w:val="20"/>
        </w:rPr>
        <w:t>rado su empeño por</w:t>
      </w:r>
      <w:r w:rsidR="0071181F" w:rsidRPr="008D6D6A">
        <w:rPr>
          <w:rFonts w:ascii="Verdana" w:hAnsi="Verdana" w:cs="Times New Roman"/>
          <w:sz w:val="20"/>
          <w:szCs w:val="20"/>
        </w:rPr>
        <w:t xml:space="preserve"> una mayor transp</w:t>
      </w:r>
      <w:r w:rsidR="003B6498" w:rsidRPr="008D6D6A">
        <w:rPr>
          <w:rFonts w:ascii="Verdana" w:hAnsi="Verdana" w:cs="Times New Roman"/>
          <w:sz w:val="20"/>
          <w:szCs w:val="20"/>
        </w:rPr>
        <w:t>arencia en el arbitraje</w:t>
      </w:r>
      <w:r w:rsidR="0071181F" w:rsidRPr="008D6D6A">
        <w:rPr>
          <w:rFonts w:ascii="Verdana" w:hAnsi="Verdana" w:cs="Times New Roman"/>
          <w:sz w:val="20"/>
          <w:szCs w:val="20"/>
        </w:rPr>
        <w:t xml:space="preserve"> inversionista-Estado, </w:t>
      </w:r>
      <w:r w:rsidR="004A0CC7" w:rsidRPr="008D6D6A">
        <w:rPr>
          <w:rFonts w:ascii="Verdana" w:hAnsi="Verdana" w:cs="Times New Roman"/>
          <w:sz w:val="20"/>
          <w:szCs w:val="20"/>
        </w:rPr>
        <w:t>existen un gran número de Estados</w:t>
      </w:r>
      <w:r w:rsidR="009B3C38" w:rsidRPr="008D6D6A">
        <w:rPr>
          <w:rFonts w:ascii="Verdana" w:hAnsi="Verdana" w:cs="Times New Roman"/>
          <w:sz w:val="20"/>
          <w:szCs w:val="20"/>
        </w:rPr>
        <w:t xml:space="preserve"> con una actitud reticente</w:t>
      </w:r>
      <w:r w:rsidR="0071181F" w:rsidRPr="008D6D6A">
        <w:rPr>
          <w:rFonts w:ascii="Verdana" w:hAnsi="Verdana" w:cs="Times New Roman"/>
          <w:sz w:val="20"/>
          <w:szCs w:val="20"/>
        </w:rPr>
        <w:t xml:space="preserve"> ante las nego</w:t>
      </w:r>
      <w:r w:rsidR="004A0CC7" w:rsidRPr="008D6D6A">
        <w:rPr>
          <w:rFonts w:ascii="Verdana" w:hAnsi="Verdana" w:cs="Times New Roman"/>
          <w:sz w:val="20"/>
          <w:szCs w:val="20"/>
        </w:rPr>
        <w:t>ciaciones de la Convención. Así pues, de los 193</w:t>
      </w:r>
      <w:r w:rsidR="00BA616A" w:rsidRPr="008D6D6A">
        <w:rPr>
          <w:rFonts w:ascii="Verdana" w:hAnsi="Verdana" w:cs="Times New Roman"/>
          <w:sz w:val="20"/>
          <w:szCs w:val="20"/>
        </w:rPr>
        <w:t xml:space="preserve"> Estados miembros de las Nacion</w:t>
      </w:r>
      <w:r w:rsidR="004A0CC7" w:rsidRPr="008D6D6A">
        <w:rPr>
          <w:rFonts w:ascii="Verdana" w:hAnsi="Verdana" w:cs="Times New Roman"/>
          <w:sz w:val="20"/>
          <w:szCs w:val="20"/>
        </w:rPr>
        <w:t>es Unidas só</w:t>
      </w:r>
      <w:r w:rsidR="00F56D02" w:rsidRPr="008D6D6A">
        <w:rPr>
          <w:rFonts w:ascii="Verdana" w:hAnsi="Verdana" w:cs="Times New Roman"/>
          <w:sz w:val="20"/>
          <w:szCs w:val="20"/>
        </w:rPr>
        <w:t>lo 23 han firmado la Convención</w:t>
      </w:r>
      <w:r w:rsidR="009A68BC" w:rsidRPr="008D6D6A">
        <w:rPr>
          <w:rFonts w:ascii="Verdana" w:hAnsi="Verdana" w:cs="Times New Roman"/>
          <w:sz w:val="20"/>
          <w:szCs w:val="20"/>
        </w:rPr>
        <w:t>,</w:t>
      </w:r>
      <w:r w:rsidR="004A0CC7" w:rsidRPr="008D6D6A">
        <w:rPr>
          <w:rFonts w:ascii="Verdana" w:hAnsi="Verdana" w:cs="Times New Roman"/>
          <w:sz w:val="20"/>
          <w:szCs w:val="20"/>
        </w:rPr>
        <w:t xml:space="preserve"> </w:t>
      </w:r>
      <w:r w:rsidR="009A68BC" w:rsidRPr="008D6D6A">
        <w:rPr>
          <w:rFonts w:ascii="Verdana" w:hAnsi="Verdana" w:cs="Times New Roman"/>
          <w:sz w:val="20"/>
          <w:szCs w:val="20"/>
        </w:rPr>
        <w:t>a</w:t>
      </w:r>
      <w:r w:rsidR="00B919DB" w:rsidRPr="008D6D6A">
        <w:rPr>
          <w:rFonts w:ascii="Verdana" w:hAnsi="Verdana" w:cs="Times New Roman"/>
          <w:sz w:val="20"/>
          <w:szCs w:val="20"/>
        </w:rPr>
        <w:t>unque</w:t>
      </w:r>
      <w:r w:rsidR="00C14A78" w:rsidRPr="008D6D6A">
        <w:rPr>
          <w:rFonts w:ascii="Verdana" w:hAnsi="Verdana" w:cs="Times New Roman"/>
          <w:sz w:val="20"/>
          <w:szCs w:val="20"/>
        </w:rPr>
        <w:t xml:space="preserve"> debemos destacar</w:t>
      </w:r>
      <w:r w:rsidR="00A6105C" w:rsidRPr="008D6D6A">
        <w:rPr>
          <w:rFonts w:ascii="Verdana" w:hAnsi="Verdana" w:cs="Times New Roman"/>
          <w:sz w:val="20"/>
          <w:szCs w:val="20"/>
        </w:rPr>
        <w:t xml:space="preserve"> </w:t>
      </w:r>
      <w:r w:rsidR="00A139B4" w:rsidRPr="008D6D6A">
        <w:rPr>
          <w:rFonts w:ascii="Verdana" w:hAnsi="Verdana" w:cs="Times New Roman"/>
          <w:sz w:val="20"/>
          <w:szCs w:val="20"/>
        </w:rPr>
        <w:t>q</w:t>
      </w:r>
      <w:r w:rsidR="009912BE" w:rsidRPr="008D6D6A">
        <w:rPr>
          <w:rFonts w:ascii="Verdana" w:hAnsi="Verdana" w:cs="Times New Roman"/>
          <w:sz w:val="20"/>
          <w:szCs w:val="20"/>
        </w:rPr>
        <w:t>ue algunos gobiernos se han interesado por el tema</w:t>
      </w:r>
      <w:r w:rsidR="00A139B4" w:rsidRPr="008D6D6A">
        <w:rPr>
          <w:rFonts w:ascii="Verdana" w:hAnsi="Verdana" w:cs="Times New Roman"/>
          <w:sz w:val="20"/>
          <w:szCs w:val="20"/>
        </w:rPr>
        <w:t xml:space="preserve"> y se h</w:t>
      </w:r>
      <w:r w:rsidR="009A68BC" w:rsidRPr="008D6D6A">
        <w:rPr>
          <w:rFonts w:ascii="Verdana" w:hAnsi="Verdana" w:cs="Times New Roman"/>
          <w:sz w:val="20"/>
          <w:szCs w:val="20"/>
        </w:rPr>
        <w:t>an ido pronunciando al respecto;</w:t>
      </w:r>
      <w:r w:rsidR="00A139B4" w:rsidRPr="008D6D6A">
        <w:rPr>
          <w:rFonts w:ascii="Verdana" w:hAnsi="Verdana" w:cs="Times New Roman"/>
          <w:sz w:val="20"/>
          <w:szCs w:val="20"/>
        </w:rPr>
        <w:t xml:space="preserve"> ejemplo de ellos es </w:t>
      </w:r>
      <w:r w:rsidR="008604DF" w:rsidRPr="008D6D6A">
        <w:rPr>
          <w:rFonts w:ascii="Verdana" w:hAnsi="Verdana" w:cs="Times New Roman"/>
          <w:sz w:val="20"/>
          <w:szCs w:val="20"/>
        </w:rPr>
        <w:t>el G</w:t>
      </w:r>
      <w:r w:rsidR="00C14A78" w:rsidRPr="008D6D6A">
        <w:rPr>
          <w:rFonts w:ascii="Verdana" w:hAnsi="Verdana" w:cs="Times New Roman"/>
          <w:sz w:val="20"/>
          <w:szCs w:val="20"/>
        </w:rPr>
        <w:t>obierno a</w:t>
      </w:r>
      <w:r w:rsidR="00A6105C" w:rsidRPr="008D6D6A">
        <w:rPr>
          <w:rFonts w:ascii="Verdana" w:hAnsi="Verdana" w:cs="Times New Roman"/>
          <w:sz w:val="20"/>
          <w:szCs w:val="20"/>
        </w:rPr>
        <w:t>ustralia</w:t>
      </w:r>
      <w:r w:rsidR="00C14A78" w:rsidRPr="008D6D6A">
        <w:rPr>
          <w:rFonts w:ascii="Verdana" w:hAnsi="Verdana" w:cs="Times New Roman"/>
          <w:sz w:val="20"/>
          <w:szCs w:val="20"/>
        </w:rPr>
        <w:t>no</w:t>
      </w:r>
      <w:r w:rsidR="00A6105C" w:rsidRPr="008D6D6A">
        <w:rPr>
          <w:rFonts w:ascii="Verdana" w:hAnsi="Verdana" w:cs="Times New Roman"/>
          <w:sz w:val="20"/>
          <w:szCs w:val="20"/>
        </w:rPr>
        <w:t xml:space="preserve">, </w:t>
      </w:r>
      <w:r w:rsidR="00BA616A" w:rsidRPr="008D6D6A">
        <w:rPr>
          <w:rFonts w:ascii="Verdana" w:hAnsi="Verdana" w:cs="Times New Roman"/>
          <w:sz w:val="20"/>
          <w:szCs w:val="20"/>
        </w:rPr>
        <w:t xml:space="preserve">que en sus </w:t>
      </w:r>
      <w:r w:rsidR="00A6105C" w:rsidRPr="008D6D6A">
        <w:rPr>
          <w:rFonts w:ascii="Verdana" w:hAnsi="Verdana" w:cs="Times New Roman"/>
          <w:sz w:val="20"/>
          <w:szCs w:val="20"/>
        </w:rPr>
        <w:t>recientes enmiendas propuestas a su régimen de arbitraje internacional de inversiones, ha estado abordando las implicaciones de l</w:t>
      </w:r>
      <w:r w:rsidR="00903BBD" w:rsidRPr="008D6D6A">
        <w:rPr>
          <w:rFonts w:ascii="Verdana" w:hAnsi="Verdana" w:cs="Times New Roman"/>
          <w:sz w:val="20"/>
          <w:szCs w:val="20"/>
        </w:rPr>
        <w:t>a Convención de Mauricio en su</w:t>
      </w:r>
      <w:r w:rsidR="00AD22A4" w:rsidRPr="008D6D6A">
        <w:rPr>
          <w:rFonts w:ascii="Verdana" w:hAnsi="Verdana" w:cs="Times New Roman"/>
          <w:sz w:val="20"/>
          <w:szCs w:val="20"/>
        </w:rPr>
        <w:t xml:space="preserve"> D</w:t>
      </w:r>
      <w:r w:rsidR="00A6105C" w:rsidRPr="008D6D6A">
        <w:rPr>
          <w:rFonts w:ascii="Verdana" w:hAnsi="Verdana" w:cs="Times New Roman"/>
          <w:sz w:val="20"/>
          <w:szCs w:val="20"/>
        </w:rPr>
        <w:t>erecho interno</w:t>
      </w:r>
      <w:r w:rsidR="00A6105C" w:rsidRPr="008D6D6A">
        <w:rPr>
          <w:rStyle w:val="Refdenotaalpie"/>
          <w:rFonts w:ascii="Verdana" w:hAnsi="Verdana" w:cs="Times New Roman"/>
          <w:sz w:val="20"/>
          <w:szCs w:val="20"/>
        </w:rPr>
        <w:footnoteReference w:id="145"/>
      </w:r>
      <w:r w:rsidR="00A34DAD" w:rsidRPr="008D6D6A">
        <w:rPr>
          <w:rFonts w:ascii="Verdana" w:hAnsi="Verdana" w:cs="Times New Roman"/>
          <w:sz w:val="20"/>
          <w:szCs w:val="20"/>
        </w:rPr>
        <w:t>.</w:t>
      </w:r>
    </w:p>
    <w:p w:rsidR="002F2770" w:rsidRPr="008D6D6A" w:rsidRDefault="00A34DAD" w:rsidP="006D3AD5">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No obstante, </w:t>
      </w:r>
      <w:r w:rsidR="00A139B4" w:rsidRPr="008D6D6A">
        <w:rPr>
          <w:rFonts w:ascii="Verdana" w:hAnsi="Verdana" w:cs="Times New Roman"/>
          <w:sz w:val="20"/>
          <w:szCs w:val="20"/>
        </w:rPr>
        <w:t>con solo adentrarnos</w:t>
      </w:r>
      <w:r w:rsidR="0071181F" w:rsidRPr="008D6D6A">
        <w:rPr>
          <w:rFonts w:ascii="Verdana" w:hAnsi="Verdana" w:cs="Times New Roman"/>
          <w:sz w:val="20"/>
          <w:szCs w:val="20"/>
        </w:rPr>
        <w:t xml:space="preserve"> en los preceptos de la Convención, </w:t>
      </w:r>
      <w:r w:rsidR="001E4A3E" w:rsidRPr="008D6D6A">
        <w:rPr>
          <w:rFonts w:ascii="Verdana" w:hAnsi="Verdana" w:cs="Times New Roman"/>
          <w:sz w:val="20"/>
          <w:szCs w:val="20"/>
        </w:rPr>
        <w:t xml:space="preserve">podemos </w:t>
      </w:r>
      <w:r w:rsidR="00C14A78" w:rsidRPr="008D6D6A">
        <w:rPr>
          <w:rFonts w:ascii="Verdana" w:hAnsi="Verdana" w:cs="Times New Roman"/>
          <w:sz w:val="20"/>
          <w:szCs w:val="20"/>
        </w:rPr>
        <w:t xml:space="preserve">comprender </w:t>
      </w:r>
      <w:r w:rsidR="00E207A2" w:rsidRPr="008D6D6A">
        <w:rPr>
          <w:rFonts w:ascii="Verdana" w:hAnsi="Verdana" w:cs="Times New Roman"/>
          <w:sz w:val="20"/>
          <w:szCs w:val="20"/>
        </w:rPr>
        <w:t>que la misma resulta</w:t>
      </w:r>
      <w:r w:rsidR="001E4A3E" w:rsidRPr="008D6D6A">
        <w:rPr>
          <w:rFonts w:ascii="Verdana" w:hAnsi="Verdana" w:cs="Times New Roman"/>
          <w:sz w:val="20"/>
          <w:szCs w:val="20"/>
        </w:rPr>
        <w:t xml:space="preserve"> de difícil </w:t>
      </w:r>
      <w:r w:rsidR="006C7E44" w:rsidRPr="008D6D6A">
        <w:rPr>
          <w:rFonts w:ascii="Verdana" w:hAnsi="Verdana" w:cs="Times New Roman"/>
          <w:sz w:val="20"/>
          <w:szCs w:val="20"/>
        </w:rPr>
        <w:t>aplicación</w:t>
      </w:r>
      <w:r w:rsidR="004F42CD" w:rsidRPr="008D6D6A">
        <w:rPr>
          <w:rFonts w:ascii="Verdana" w:hAnsi="Verdana" w:cs="Times New Roman"/>
          <w:sz w:val="20"/>
          <w:szCs w:val="20"/>
        </w:rPr>
        <w:t>.</w:t>
      </w:r>
      <w:r w:rsidR="001D3DF7" w:rsidRPr="008D6D6A">
        <w:rPr>
          <w:rFonts w:ascii="Verdana" w:hAnsi="Verdana" w:cs="Times New Roman"/>
          <w:sz w:val="20"/>
          <w:szCs w:val="20"/>
        </w:rPr>
        <w:t xml:space="preserve"> </w:t>
      </w:r>
      <w:r w:rsidR="004F42CD" w:rsidRPr="008D6D6A">
        <w:rPr>
          <w:rFonts w:ascii="Verdana" w:hAnsi="Verdana" w:cs="Times New Roman"/>
          <w:sz w:val="20"/>
          <w:szCs w:val="20"/>
        </w:rPr>
        <w:t>E</w:t>
      </w:r>
      <w:r w:rsidR="009B3C38" w:rsidRPr="008D6D6A">
        <w:rPr>
          <w:rFonts w:ascii="Verdana" w:hAnsi="Verdana" w:cs="Times New Roman"/>
          <w:sz w:val="20"/>
          <w:szCs w:val="20"/>
        </w:rPr>
        <w:t xml:space="preserve">n otras palabras, </w:t>
      </w:r>
      <w:r w:rsidR="00C57A2F" w:rsidRPr="008D6D6A">
        <w:rPr>
          <w:rFonts w:ascii="Verdana" w:hAnsi="Verdana" w:cs="Times New Roman"/>
          <w:sz w:val="20"/>
          <w:szCs w:val="20"/>
        </w:rPr>
        <w:t xml:space="preserve">podrá ser considerada </w:t>
      </w:r>
      <w:r w:rsidR="009B3C38" w:rsidRPr="008D6D6A">
        <w:rPr>
          <w:rFonts w:ascii="Verdana" w:hAnsi="Verdana" w:cs="Times New Roman"/>
          <w:sz w:val="20"/>
          <w:szCs w:val="20"/>
        </w:rPr>
        <w:t>letra</w:t>
      </w:r>
      <w:r w:rsidR="001D3DF7" w:rsidRPr="008D6D6A">
        <w:rPr>
          <w:rFonts w:ascii="Verdana" w:hAnsi="Verdana" w:cs="Times New Roman"/>
          <w:sz w:val="20"/>
          <w:szCs w:val="20"/>
        </w:rPr>
        <w:t xml:space="preserve"> muerta para los Estados. </w:t>
      </w:r>
      <w:r w:rsidR="00277A7A" w:rsidRPr="008D6D6A">
        <w:rPr>
          <w:rFonts w:ascii="Verdana" w:hAnsi="Verdana" w:cs="Times New Roman"/>
          <w:sz w:val="20"/>
          <w:szCs w:val="20"/>
        </w:rPr>
        <w:t>U</w:t>
      </w:r>
      <w:r w:rsidR="001E4A3E" w:rsidRPr="008D6D6A">
        <w:rPr>
          <w:rFonts w:ascii="Verdana" w:hAnsi="Verdana" w:cs="Times New Roman"/>
          <w:sz w:val="20"/>
          <w:szCs w:val="20"/>
        </w:rPr>
        <w:t xml:space="preserve">na simple </w:t>
      </w:r>
      <w:r w:rsidR="006C7E44" w:rsidRPr="008D6D6A">
        <w:rPr>
          <w:rFonts w:ascii="Verdana" w:hAnsi="Verdana" w:cs="Times New Roman"/>
          <w:sz w:val="20"/>
          <w:szCs w:val="20"/>
        </w:rPr>
        <w:t>lectura</w:t>
      </w:r>
      <w:r w:rsidR="001E4A3E" w:rsidRPr="008D6D6A">
        <w:rPr>
          <w:rFonts w:ascii="Verdana" w:hAnsi="Verdana" w:cs="Times New Roman"/>
          <w:sz w:val="20"/>
          <w:szCs w:val="20"/>
        </w:rPr>
        <w:t xml:space="preserve"> de los</w:t>
      </w:r>
      <w:r w:rsidR="001D3DF7" w:rsidRPr="008D6D6A">
        <w:rPr>
          <w:rFonts w:ascii="Verdana" w:hAnsi="Verdana" w:cs="Times New Roman"/>
          <w:sz w:val="20"/>
          <w:szCs w:val="20"/>
        </w:rPr>
        <w:t xml:space="preserve"> </w:t>
      </w:r>
      <w:r w:rsidR="001E4A3E" w:rsidRPr="008D6D6A">
        <w:rPr>
          <w:rFonts w:ascii="Verdana" w:hAnsi="Verdana" w:cs="Times New Roman"/>
          <w:sz w:val="20"/>
          <w:szCs w:val="20"/>
        </w:rPr>
        <w:t>artículos</w:t>
      </w:r>
      <w:r w:rsidR="001D3DF7" w:rsidRPr="008D6D6A">
        <w:rPr>
          <w:rFonts w:ascii="Verdana" w:hAnsi="Verdana" w:cs="Times New Roman"/>
          <w:sz w:val="20"/>
          <w:szCs w:val="20"/>
        </w:rPr>
        <w:t xml:space="preserve"> que </w:t>
      </w:r>
      <w:r w:rsidR="001D3DF7" w:rsidRPr="008D6D6A">
        <w:rPr>
          <w:rFonts w:ascii="Verdana" w:hAnsi="Verdana" w:cs="Times New Roman"/>
          <w:sz w:val="20"/>
          <w:szCs w:val="20"/>
        </w:rPr>
        <w:lastRenderedPageBreak/>
        <w:t>regulan las reservas q</w:t>
      </w:r>
      <w:r w:rsidR="00ED181E" w:rsidRPr="008D6D6A">
        <w:rPr>
          <w:rFonts w:ascii="Verdana" w:hAnsi="Verdana" w:cs="Times New Roman"/>
          <w:sz w:val="20"/>
          <w:szCs w:val="20"/>
        </w:rPr>
        <w:t>ue podrán formular los Estados P</w:t>
      </w:r>
      <w:r w:rsidR="001D3DF7" w:rsidRPr="008D6D6A">
        <w:rPr>
          <w:rFonts w:ascii="Verdana" w:hAnsi="Verdana" w:cs="Times New Roman"/>
          <w:sz w:val="20"/>
          <w:szCs w:val="20"/>
        </w:rPr>
        <w:t>artes</w:t>
      </w:r>
      <w:r w:rsidR="009B3C38" w:rsidRPr="008D6D6A">
        <w:rPr>
          <w:rFonts w:ascii="Verdana" w:hAnsi="Verdana" w:cs="Times New Roman"/>
          <w:sz w:val="20"/>
          <w:szCs w:val="20"/>
        </w:rPr>
        <w:t xml:space="preserve"> para no aplicar la</w:t>
      </w:r>
      <w:r w:rsidR="001D3DF7" w:rsidRPr="008D6D6A">
        <w:rPr>
          <w:rFonts w:ascii="Verdana" w:hAnsi="Verdana" w:cs="Times New Roman"/>
          <w:sz w:val="20"/>
          <w:szCs w:val="20"/>
        </w:rPr>
        <w:t xml:space="preserve"> Convención</w:t>
      </w:r>
      <w:r w:rsidR="00277A7A" w:rsidRPr="008D6D6A">
        <w:rPr>
          <w:rFonts w:ascii="Verdana" w:hAnsi="Verdana" w:cs="Times New Roman"/>
          <w:sz w:val="20"/>
          <w:szCs w:val="20"/>
        </w:rPr>
        <w:t xml:space="preserve"> (art. 3 y 4)</w:t>
      </w:r>
      <w:r w:rsidR="001D3DF7" w:rsidRPr="008D6D6A">
        <w:rPr>
          <w:rFonts w:ascii="Verdana" w:hAnsi="Verdana" w:cs="Times New Roman"/>
          <w:sz w:val="20"/>
          <w:szCs w:val="20"/>
        </w:rPr>
        <w:t xml:space="preserve">, </w:t>
      </w:r>
      <w:r w:rsidR="00F0592E" w:rsidRPr="008D6D6A">
        <w:rPr>
          <w:rFonts w:ascii="Verdana" w:hAnsi="Verdana" w:cs="Times New Roman"/>
          <w:sz w:val="20"/>
          <w:szCs w:val="20"/>
        </w:rPr>
        <w:t xml:space="preserve">reservas </w:t>
      </w:r>
      <w:r w:rsidR="00277A7A" w:rsidRPr="008D6D6A">
        <w:rPr>
          <w:rFonts w:ascii="Verdana" w:hAnsi="Verdana" w:cs="Times New Roman"/>
          <w:sz w:val="20"/>
          <w:szCs w:val="20"/>
        </w:rPr>
        <w:t xml:space="preserve">que </w:t>
      </w:r>
      <w:r w:rsidR="00F0592E" w:rsidRPr="008D6D6A">
        <w:rPr>
          <w:rFonts w:ascii="Verdana" w:hAnsi="Verdana" w:cs="Times New Roman"/>
          <w:sz w:val="20"/>
          <w:szCs w:val="20"/>
        </w:rPr>
        <w:t>constituyen</w:t>
      </w:r>
      <w:r w:rsidR="001D3DF7" w:rsidRPr="008D6D6A">
        <w:rPr>
          <w:rFonts w:ascii="Verdana" w:hAnsi="Verdana" w:cs="Times New Roman"/>
          <w:sz w:val="20"/>
          <w:szCs w:val="20"/>
        </w:rPr>
        <w:t xml:space="preserve"> el epice</w:t>
      </w:r>
      <w:r w:rsidR="009B3C38" w:rsidRPr="008D6D6A">
        <w:rPr>
          <w:rFonts w:ascii="Verdana" w:hAnsi="Verdana" w:cs="Times New Roman"/>
          <w:sz w:val="20"/>
          <w:szCs w:val="20"/>
        </w:rPr>
        <w:t>ntro neurálgico de la misma</w:t>
      </w:r>
      <w:r w:rsidR="001D3DF7" w:rsidRPr="008D6D6A">
        <w:rPr>
          <w:rFonts w:ascii="Verdana" w:hAnsi="Verdana" w:cs="Times New Roman"/>
          <w:sz w:val="20"/>
          <w:szCs w:val="20"/>
        </w:rPr>
        <w:t xml:space="preserve">, </w:t>
      </w:r>
      <w:r w:rsidR="009B3C38" w:rsidRPr="008D6D6A">
        <w:rPr>
          <w:rFonts w:ascii="Verdana" w:hAnsi="Verdana" w:cs="Times New Roman"/>
          <w:sz w:val="20"/>
          <w:szCs w:val="20"/>
        </w:rPr>
        <w:t>nos resulta suficiente para comprender</w:t>
      </w:r>
      <w:r w:rsidR="00913085" w:rsidRPr="008D6D6A">
        <w:rPr>
          <w:rFonts w:ascii="Verdana" w:hAnsi="Verdana" w:cs="Times New Roman"/>
          <w:sz w:val="20"/>
          <w:szCs w:val="20"/>
        </w:rPr>
        <w:t xml:space="preserve"> </w:t>
      </w:r>
      <w:r w:rsidR="004F42CD" w:rsidRPr="008D6D6A">
        <w:rPr>
          <w:rFonts w:ascii="Verdana" w:hAnsi="Verdana" w:cs="Times New Roman"/>
          <w:sz w:val="20"/>
          <w:szCs w:val="20"/>
        </w:rPr>
        <w:t>su</w:t>
      </w:r>
      <w:r w:rsidR="009B3C38" w:rsidRPr="008D6D6A">
        <w:rPr>
          <w:rFonts w:ascii="Verdana" w:hAnsi="Verdana" w:cs="Times New Roman"/>
          <w:sz w:val="20"/>
          <w:szCs w:val="20"/>
        </w:rPr>
        <w:t xml:space="preserve"> no oper</w:t>
      </w:r>
      <w:r w:rsidR="004F42CD" w:rsidRPr="008D6D6A">
        <w:rPr>
          <w:rFonts w:ascii="Verdana" w:hAnsi="Verdana" w:cs="Times New Roman"/>
          <w:sz w:val="20"/>
          <w:szCs w:val="20"/>
        </w:rPr>
        <w:t>atividad</w:t>
      </w:r>
      <w:r w:rsidR="00ED181E" w:rsidRPr="008D6D6A">
        <w:rPr>
          <w:rFonts w:ascii="Verdana" w:hAnsi="Verdana" w:cs="Times New Roman"/>
          <w:sz w:val="20"/>
          <w:szCs w:val="20"/>
        </w:rPr>
        <w:t xml:space="preserve">. Son tantas las reservas que pueden </w:t>
      </w:r>
      <w:r w:rsidR="00D523AC" w:rsidRPr="008D6D6A">
        <w:rPr>
          <w:rFonts w:ascii="Verdana" w:hAnsi="Verdana" w:cs="Times New Roman"/>
          <w:sz w:val="20"/>
          <w:szCs w:val="20"/>
        </w:rPr>
        <w:t>interponer los E</w:t>
      </w:r>
      <w:r w:rsidR="00ED181E" w:rsidRPr="008D6D6A">
        <w:rPr>
          <w:rFonts w:ascii="Verdana" w:hAnsi="Verdana" w:cs="Times New Roman"/>
          <w:sz w:val="20"/>
          <w:szCs w:val="20"/>
        </w:rPr>
        <w:t>st</w:t>
      </w:r>
      <w:r w:rsidR="009A68BC" w:rsidRPr="008D6D6A">
        <w:rPr>
          <w:rFonts w:ascii="Verdana" w:hAnsi="Verdana" w:cs="Times New Roman"/>
          <w:sz w:val="20"/>
          <w:szCs w:val="20"/>
        </w:rPr>
        <w:t>ados que no queda opción alguna</w:t>
      </w:r>
      <w:r w:rsidR="00ED181E" w:rsidRPr="008D6D6A">
        <w:rPr>
          <w:rFonts w:ascii="Verdana" w:hAnsi="Verdana" w:cs="Times New Roman"/>
          <w:sz w:val="20"/>
          <w:szCs w:val="20"/>
        </w:rPr>
        <w:t xml:space="preserve"> en la que al menos se motive a los Estados </w:t>
      </w:r>
      <w:r w:rsidR="001D3DF7" w:rsidRPr="008D6D6A">
        <w:rPr>
          <w:rFonts w:ascii="Verdana" w:hAnsi="Verdana" w:cs="Times New Roman"/>
          <w:sz w:val="20"/>
          <w:szCs w:val="20"/>
        </w:rPr>
        <w:t>adherirse a dicha Convenció</w:t>
      </w:r>
      <w:r w:rsidR="00ED181E" w:rsidRPr="008D6D6A">
        <w:rPr>
          <w:rFonts w:ascii="Verdana" w:hAnsi="Verdana" w:cs="Times New Roman"/>
          <w:sz w:val="20"/>
          <w:szCs w:val="20"/>
        </w:rPr>
        <w:t>n.</w:t>
      </w:r>
      <w:r w:rsidR="00093B2B" w:rsidRPr="008D6D6A">
        <w:rPr>
          <w:rFonts w:ascii="Verdana" w:hAnsi="Verdana" w:cs="Times New Roman"/>
          <w:sz w:val="20"/>
          <w:szCs w:val="20"/>
        </w:rPr>
        <w:t xml:space="preserve"> </w:t>
      </w:r>
      <w:r w:rsidR="004F42CD" w:rsidRPr="008D6D6A">
        <w:rPr>
          <w:rFonts w:ascii="Verdana" w:hAnsi="Verdana" w:cs="Times New Roman"/>
          <w:sz w:val="20"/>
          <w:szCs w:val="20"/>
        </w:rPr>
        <w:t xml:space="preserve">Su </w:t>
      </w:r>
      <w:r w:rsidR="00093B2B" w:rsidRPr="008D6D6A">
        <w:rPr>
          <w:rFonts w:ascii="Verdana" w:hAnsi="Verdana" w:cs="Times New Roman"/>
          <w:sz w:val="20"/>
          <w:szCs w:val="20"/>
        </w:rPr>
        <w:t xml:space="preserve">éxito dependerá tanto de la voluntad de los Estados en adherirse a la misma, </w:t>
      </w:r>
      <w:r w:rsidR="003207DB" w:rsidRPr="008D6D6A">
        <w:rPr>
          <w:rFonts w:ascii="Verdana" w:hAnsi="Verdana" w:cs="Times New Roman"/>
          <w:sz w:val="20"/>
          <w:szCs w:val="20"/>
        </w:rPr>
        <w:t>de asumir las Reglas sobre la Transparencia e incorporarlas a los futuros tratados</w:t>
      </w:r>
      <w:r w:rsidR="00277A7A" w:rsidRPr="008D6D6A">
        <w:rPr>
          <w:rFonts w:ascii="Verdana" w:hAnsi="Verdana" w:cs="Times New Roman"/>
          <w:sz w:val="20"/>
          <w:szCs w:val="20"/>
        </w:rPr>
        <w:t xml:space="preserve">, </w:t>
      </w:r>
      <w:r w:rsidR="00093B2B" w:rsidRPr="008D6D6A">
        <w:rPr>
          <w:rFonts w:ascii="Verdana" w:hAnsi="Verdana" w:cs="Times New Roman"/>
          <w:sz w:val="20"/>
          <w:szCs w:val="20"/>
        </w:rPr>
        <w:t xml:space="preserve">como de </w:t>
      </w:r>
      <w:r w:rsidR="00EF313F" w:rsidRPr="008D6D6A">
        <w:rPr>
          <w:rFonts w:ascii="Verdana" w:hAnsi="Verdana" w:cs="Times New Roman"/>
          <w:sz w:val="20"/>
          <w:szCs w:val="20"/>
        </w:rPr>
        <w:t>refrenarse</w:t>
      </w:r>
      <w:r w:rsidR="00093B2B" w:rsidRPr="008D6D6A">
        <w:rPr>
          <w:rFonts w:ascii="Verdana" w:hAnsi="Verdana" w:cs="Times New Roman"/>
          <w:sz w:val="20"/>
          <w:szCs w:val="20"/>
        </w:rPr>
        <w:t xml:space="preserve"> a las reservas reconocidas en </w:t>
      </w:r>
      <w:r w:rsidR="003207DB" w:rsidRPr="008D6D6A">
        <w:rPr>
          <w:rFonts w:ascii="Verdana" w:hAnsi="Verdana" w:cs="Times New Roman"/>
          <w:sz w:val="20"/>
          <w:szCs w:val="20"/>
        </w:rPr>
        <w:t xml:space="preserve">el </w:t>
      </w:r>
      <w:r w:rsidR="00093B2B" w:rsidRPr="008D6D6A">
        <w:rPr>
          <w:rFonts w:ascii="Verdana" w:hAnsi="Verdana" w:cs="Times New Roman"/>
          <w:sz w:val="20"/>
          <w:szCs w:val="20"/>
        </w:rPr>
        <w:t>texto</w:t>
      </w:r>
      <w:r w:rsidR="003207DB" w:rsidRPr="008D6D6A">
        <w:rPr>
          <w:rFonts w:ascii="Verdana" w:hAnsi="Verdana" w:cs="Times New Roman"/>
          <w:sz w:val="20"/>
          <w:szCs w:val="20"/>
        </w:rPr>
        <w:t xml:space="preserve"> de la Convención</w:t>
      </w:r>
      <w:r w:rsidR="00093B2B" w:rsidRPr="008D6D6A">
        <w:rPr>
          <w:rFonts w:ascii="Verdana" w:hAnsi="Verdana" w:cs="Times New Roman"/>
          <w:sz w:val="20"/>
          <w:szCs w:val="20"/>
        </w:rPr>
        <w:t xml:space="preserve"> y que pueden interponer los propios Estados.</w:t>
      </w:r>
      <w:r w:rsidR="00C57A2F" w:rsidRPr="008D6D6A">
        <w:rPr>
          <w:rFonts w:ascii="Verdana" w:hAnsi="Verdana" w:cs="Times New Roman"/>
          <w:sz w:val="20"/>
          <w:szCs w:val="20"/>
        </w:rPr>
        <w:t xml:space="preserve"> </w:t>
      </w:r>
      <w:r w:rsidR="00713B6F" w:rsidRPr="008D6D6A">
        <w:rPr>
          <w:rFonts w:ascii="Verdana" w:hAnsi="Verdana" w:cs="Times New Roman"/>
          <w:sz w:val="20"/>
          <w:szCs w:val="20"/>
        </w:rPr>
        <w:t>Tanto es así</w:t>
      </w:r>
      <w:r w:rsidR="00F56D02" w:rsidRPr="008D6D6A">
        <w:rPr>
          <w:rFonts w:ascii="Verdana" w:hAnsi="Verdana" w:cs="Times New Roman"/>
          <w:sz w:val="20"/>
          <w:szCs w:val="20"/>
        </w:rPr>
        <w:t xml:space="preserve"> </w:t>
      </w:r>
      <w:r w:rsidR="00713B6F" w:rsidRPr="008D6D6A">
        <w:rPr>
          <w:rFonts w:ascii="Verdana" w:hAnsi="Verdana" w:cs="Times New Roman"/>
          <w:sz w:val="20"/>
          <w:szCs w:val="20"/>
        </w:rPr>
        <w:t>que, con excepción de Canadá</w:t>
      </w:r>
      <w:r w:rsidR="00EA7640" w:rsidRPr="008D6D6A">
        <w:rPr>
          <w:rFonts w:ascii="Verdana" w:hAnsi="Verdana" w:cs="Times New Roman"/>
          <w:sz w:val="20"/>
          <w:szCs w:val="20"/>
        </w:rPr>
        <w:t xml:space="preserve"> que ha tenido en cuenta en sus APPRI los objetivos de transparencia propuestos en la Convención, e incluso actualizando su </w:t>
      </w:r>
      <w:r w:rsidR="002A45BE" w:rsidRPr="008D6D6A">
        <w:rPr>
          <w:rFonts w:ascii="Verdana" w:hAnsi="Verdana" w:cs="Times New Roman"/>
          <w:sz w:val="20"/>
          <w:szCs w:val="20"/>
        </w:rPr>
        <w:t xml:space="preserve">propia </w:t>
      </w:r>
      <w:r w:rsidR="00713B6F" w:rsidRPr="008D6D6A">
        <w:rPr>
          <w:rFonts w:ascii="Verdana" w:hAnsi="Verdana" w:cs="Times New Roman"/>
          <w:sz w:val="20"/>
          <w:szCs w:val="20"/>
        </w:rPr>
        <w:t>política de inversión,</w:t>
      </w:r>
      <w:r w:rsidR="00EA7640" w:rsidRPr="008D6D6A">
        <w:rPr>
          <w:rFonts w:ascii="Verdana" w:hAnsi="Verdana" w:cs="Times New Roman"/>
          <w:sz w:val="20"/>
          <w:szCs w:val="20"/>
        </w:rPr>
        <w:t xml:space="preserve"> </w:t>
      </w:r>
      <w:r w:rsidR="00713B6F" w:rsidRPr="008D6D6A">
        <w:rPr>
          <w:rFonts w:ascii="Verdana" w:hAnsi="Verdana" w:cs="Times New Roman"/>
          <w:sz w:val="20"/>
          <w:szCs w:val="20"/>
        </w:rPr>
        <w:t>e</w:t>
      </w:r>
      <w:r w:rsidR="00EA7640" w:rsidRPr="008D6D6A">
        <w:rPr>
          <w:rFonts w:ascii="Verdana" w:hAnsi="Verdana" w:cs="Times New Roman"/>
          <w:sz w:val="20"/>
          <w:szCs w:val="20"/>
        </w:rPr>
        <w:t xml:space="preserve">l resto de los Estados Partes ni </w:t>
      </w:r>
      <w:r w:rsidR="002F17B7" w:rsidRPr="008D6D6A">
        <w:rPr>
          <w:rFonts w:ascii="Verdana" w:hAnsi="Verdana" w:cs="Times New Roman"/>
          <w:sz w:val="20"/>
          <w:szCs w:val="20"/>
        </w:rPr>
        <w:t>siquiera</w:t>
      </w:r>
      <w:r w:rsidR="00EA7640" w:rsidRPr="008D6D6A">
        <w:rPr>
          <w:rFonts w:ascii="Verdana" w:hAnsi="Verdana" w:cs="Times New Roman"/>
          <w:sz w:val="20"/>
          <w:szCs w:val="20"/>
        </w:rPr>
        <w:t xml:space="preserve"> han incorporado a sus ordenamientos internos la misma. </w:t>
      </w:r>
      <w:r w:rsidR="00C57A2F" w:rsidRPr="008D6D6A">
        <w:rPr>
          <w:rFonts w:ascii="Verdana" w:hAnsi="Verdana" w:cs="Times New Roman"/>
          <w:sz w:val="20"/>
          <w:szCs w:val="20"/>
        </w:rPr>
        <w:t>Motivos por los que</w:t>
      </w:r>
      <w:r w:rsidR="00945FEB" w:rsidRPr="008D6D6A">
        <w:rPr>
          <w:rFonts w:ascii="Verdana" w:hAnsi="Verdana" w:cs="Times New Roman"/>
          <w:sz w:val="20"/>
          <w:szCs w:val="20"/>
        </w:rPr>
        <w:t xml:space="preserve"> creemos que </w:t>
      </w:r>
      <w:r w:rsidR="00EA7640" w:rsidRPr="008D6D6A">
        <w:rPr>
          <w:rFonts w:ascii="Verdana" w:hAnsi="Verdana" w:cs="Times New Roman"/>
          <w:sz w:val="20"/>
          <w:szCs w:val="20"/>
        </w:rPr>
        <w:t>res</w:t>
      </w:r>
      <w:r w:rsidR="00C86B53" w:rsidRPr="008D6D6A">
        <w:rPr>
          <w:rFonts w:ascii="Verdana" w:hAnsi="Verdana" w:cs="Times New Roman"/>
          <w:sz w:val="20"/>
          <w:szCs w:val="20"/>
        </w:rPr>
        <w:t>u</w:t>
      </w:r>
      <w:r w:rsidR="00EA7640" w:rsidRPr="008D6D6A">
        <w:rPr>
          <w:rFonts w:ascii="Verdana" w:hAnsi="Verdana" w:cs="Times New Roman"/>
          <w:sz w:val="20"/>
          <w:szCs w:val="20"/>
        </w:rPr>
        <w:t xml:space="preserve">lta difícil </w:t>
      </w:r>
      <w:r w:rsidR="00C86B53" w:rsidRPr="008D6D6A">
        <w:rPr>
          <w:rFonts w:ascii="Verdana" w:hAnsi="Verdana" w:cs="Times New Roman"/>
          <w:sz w:val="20"/>
          <w:szCs w:val="20"/>
        </w:rPr>
        <w:t>que la Convención garantice</w:t>
      </w:r>
      <w:r w:rsidR="00945FEB" w:rsidRPr="008D6D6A">
        <w:rPr>
          <w:rFonts w:ascii="Verdana" w:hAnsi="Verdana" w:cs="Times New Roman"/>
          <w:sz w:val="20"/>
          <w:szCs w:val="20"/>
        </w:rPr>
        <w:t xml:space="preserve"> una verdadera s</w:t>
      </w:r>
      <w:r w:rsidR="00913085" w:rsidRPr="008D6D6A">
        <w:rPr>
          <w:rFonts w:ascii="Verdana" w:hAnsi="Verdana" w:cs="Times New Roman"/>
          <w:sz w:val="20"/>
          <w:szCs w:val="20"/>
        </w:rPr>
        <w:t>eguridad para los Estados en el ar</w:t>
      </w:r>
      <w:r w:rsidR="00D523AC" w:rsidRPr="008D6D6A">
        <w:rPr>
          <w:rFonts w:ascii="Verdana" w:hAnsi="Verdana" w:cs="Times New Roman"/>
          <w:sz w:val="20"/>
          <w:szCs w:val="20"/>
        </w:rPr>
        <w:t>bitraje de inversiones</w:t>
      </w:r>
      <w:r w:rsidR="006C7E44" w:rsidRPr="008D6D6A">
        <w:rPr>
          <w:rFonts w:ascii="Verdana" w:hAnsi="Verdana" w:cs="Times New Roman"/>
          <w:sz w:val="20"/>
          <w:szCs w:val="20"/>
        </w:rPr>
        <w:t xml:space="preserve"> en busca de</w:t>
      </w:r>
      <w:r w:rsidR="00913085" w:rsidRPr="008D6D6A">
        <w:rPr>
          <w:rFonts w:ascii="Verdana" w:hAnsi="Verdana" w:cs="Times New Roman"/>
          <w:sz w:val="20"/>
          <w:szCs w:val="20"/>
        </w:rPr>
        <w:t xml:space="preserve"> una mayor transparencia </w:t>
      </w:r>
      <w:r w:rsidR="00277A7A" w:rsidRPr="008D6D6A">
        <w:rPr>
          <w:rFonts w:ascii="Verdana" w:hAnsi="Verdana" w:cs="Times New Roman"/>
          <w:sz w:val="20"/>
          <w:szCs w:val="20"/>
        </w:rPr>
        <w:t xml:space="preserve">en el procedimiento arbitral. </w:t>
      </w:r>
      <w:r w:rsidR="00945FEB" w:rsidRPr="008D6D6A">
        <w:rPr>
          <w:rFonts w:ascii="Verdana" w:hAnsi="Verdana" w:cs="Times New Roman"/>
          <w:sz w:val="20"/>
          <w:szCs w:val="20"/>
        </w:rPr>
        <w:t>Tal y como reconocen algunos autores, “la Convención no es más que un complicado texto, cuya redacción e interpretación tiende más a equívocos que al logro del verdadero objetivo con el que se ha creado”</w:t>
      </w:r>
      <w:r w:rsidR="00ED22D1" w:rsidRPr="008D6D6A">
        <w:rPr>
          <w:rStyle w:val="Refdenotaalpie"/>
          <w:rFonts w:ascii="Verdana" w:hAnsi="Verdana" w:cs="Times New Roman"/>
          <w:sz w:val="20"/>
          <w:szCs w:val="20"/>
        </w:rPr>
        <w:footnoteReference w:id="146"/>
      </w:r>
      <w:r w:rsidR="00ED22D1" w:rsidRPr="008D6D6A">
        <w:rPr>
          <w:rFonts w:ascii="Verdana" w:hAnsi="Verdana" w:cs="Times New Roman"/>
          <w:sz w:val="20"/>
          <w:szCs w:val="20"/>
        </w:rPr>
        <w:t>.</w:t>
      </w:r>
    </w:p>
    <w:p w:rsidR="00152E6B" w:rsidRPr="008D6D6A" w:rsidRDefault="00114FB8" w:rsidP="00040A95">
      <w:pPr>
        <w:pStyle w:val="Ttulo2"/>
        <w:ind w:firstLine="0"/>
        <w:rPr>
          <w:rFonts w:ascii="Verdana" w:hAnsi="Verdana" w:cs="Times New Roman"/>
          <w:color w:val="auto"/>
          <w:sz w:val="20"/>
          <w:szCs w:val="20"/>
        </w:rPr>
      </w:pPr>
      <w:bookmarkStart w:id="68" w:name="_Toc536741939"/>
      <w:bookmarkStart w:id="69" w:name="_Toc1224464"/>
      <w:r w:rsidRPr="008D6D6A">
        <w:rPr>
          <w:rFonts w:ascii="Verdana" w:hAnsi="Verdana" w:cs="Times New Roman"/>
          <w:color w:val="auto"/>
          <w:sz w:val="20"/>
          <w:szCs w:val="20"/>
        </w:rPr>
        <w:t>6.</w:t>
      </w:r>
      <w:r w:rsidR="00C50DFF" w:rsidRPr="008D6D6A">
        <w:rPr>
          <w:rFonts w:ascii="Verdana" w:hAnsi="Verdana" w:cs="Times New Roman"/>
          <w:color w:val="auto"/>
          <w:sz w:val="20"/>
          <w:szCs w:val="20"/>
        </w:rPr>
        <w:t xml:space="preserve"> </w:t>
      </w:r>
      <w:r w:rsidR="002F17B7">
        <w:rPr>
          <w:rFonts w:ascii="Verdana" w:hAnsi="Verdana" w:cs="Times New Roman"/>
          <w:color w:val="auto"/>
          <w:sz w:val="20"/>
          <w:szCs w:val="20"/>
        </w:rPr>
        <w:t>Consideraciones</w:t>
      </w:r>
      <w:r w:rsidR="00DF6161">
        <w:rPr>
          <w:rFonts w:ascii="Verdana" w:hAnsi="Verdana" w:cs="Times New Roman"/>
          <w:color w:val="auto"/>
          <w:sz w:val="20"/>
          <w:szCs w:val="20"/>
        </w:rPr>
        <w:t xml:space="preserve"> finales</w:t>
      </w:r>
      <w:r w:rsidR="00F77AED" w:rsidRPr="00DF6161">
        <w:rPr>
          <w:rFonts w:ascii="Verdana" w:hAnsi="Verdana" w:cs="Times New Roman"/>
          <w:color w:val="auto"/>
          <w:sz w:val="20"/>
          <w:szCs w:val="20"/>
        </w:rPr>
        <w:t>.</w:t>
      </w:r>
      <w:bookmarkEnd w:id="68"/>
      <w:bookmarkEnd w:id="69"/>
    </w:p>
    <w:p w:rsidR="00C83294" w:rsidRDefault="00C83294" w:rsidP="00C83294">
      <w:pPr>
        <w:spacing w:line="240" w:lineRule="auto"/>
        <w:rPr>
          <w:rFonts w:ascii="Verdana" w:hAnsi="Verdana" w:cs="Times New Roman"/>
          <w:sz w:val="20"/>
          <w:szCs w:val="20"/>
        </w:rPr>
      </w:pPr>
      <w:r w:rsidRPr="00526A24">
        <w:rPr>
          <w:rFonts w:ascii="Verdana" w:hAnsi="Verdana" w:cs="Times New Roman"/>
          <w:sz w:val="20"/>
          <w:szCs w:val="20"/>
        </w:rPr>
        <w:t>No existe un concepto de transparencia en el arbitraje internacional. Dicha ausencia conlleva a la existencia de una incoherencia normativa al respecto, por lo que se hace necesaria la existencia de normas o reglas que determinen</w:t>
      </w:r>
      <w:r w:rsidR="00274F90">
        <w:rPr>
          <w:rFonts w:ascii="Verdana" w:hAnsi="Verdana" w:cs="Times New Roman"/>
          <w:sz w:val="20"/>
          <w:szCs w:val="20"/>
        </w:rPr>
        <w:t>, no so</w:t>
      </w:r>
      <w:r w:rsidRPr="00526A24">
        <w:rPr>
          <w:rFonts w:ascii="Verdana" w:hAnsi="Verdana" w:cs="Times New Roman"/>
          <w:sz w:val="20"/>
          <w:szCs w:val="20"/>
        </w:rPr>
        <w:t xml:space="preserve">lo si el arbitraje internacional es transparente, sino hasta qué punto y qué forma debe adoptar dicha transparencia. </w:t>
      </w:r>
    </w:p>
    <w:p w:rsidR="003A3649" w:rsidRPr="008D6D6A" w:rsidRDefault="00A53044" w:rsidP="00C83294">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El Reglamento s</w:t>
      </w:r>
      <w:r w:rsidR="00DB2838" w:rsidRPr="008D6D6A">
        <w:rPr>
          <w:rFonts w:ascii="Verdana" w:hAnsi="Verdana" w:cs="Times New Roman"/>
          <w:sz w:val="20"/>
          <w:szCs w:val="20"/>
        </w:rPr>
        <w:t>obre</w:t>
      </w:r>
      <w:r w:rsidR="009D2398" w:rsidRPr="008D6D6A">
        <w:rPr>
          <w:rFonts w:ascii="Verdana" w:hAnsi="Verdana" w:cs="Times New Roman"/>
          <w:sz w:val="20"/>
          <w:szCs w:val="20"/>
        </w:rPr>
        <w:t xml:space="preserve"> la</w:t>
      </w:r>
      <w:r w:rsidR="00DB2838" w:rsidRPr="008D6D6A">
        <w:rPr>
          <w:rFonts w:ascii="Verdana" w:hAnsi="Verdana" w:cs="Times New Roman"/>
          <w:sz w:val="20"/>
          <w:szCs w:val="20"/>
        </w:rPr>
        <w:t xml:space="preserve"> </w:t>
      </w:r>
      <w:r w:rsidRPr="008D6D6A">
        <w:rPr>
          <w:rFonts w:ascii="Verdana" w:hAnsi="Verdana" w:cs="Times New Roman"/>
          <w:sz w:val="20"/>
          <w:szCs w:val="20"/>
        </w:rPr>
        <w:t>T</w:t>
      </w:r>
      <w:r w:rsidR="00DB2838" w:rsidRPr="008D6D6A">
        <w:rPr>
          <w:rFonts w:ascii="Verdana" w:hAnsi="Verdana" w:cs="Times New Roman"/>
          <w:sz w:val="20"/>
          <w:szCs w:val="20"/>
        </w:rPr>
        <w:t xml:space="preserve">ransparencia </w:t>
      </w:r>
      <w:r w:rsidRPr="008D6D6A">
        <w:rPr>
          <w:rFonts w:ascii="Verdana" w:hAnsi="Verdana" w:cs="Times New Roman"/>
          <w:sz w:val="20"/>
          <w:szCs w:val="20"/>
        </w:rPr>
        <w:t>adoptado</w:t>
      </w:r>
      <w:r w:rsidR="00DB2838" w:rsidRPr="008D6D6A">
        <w:rPr>
          <w:rFonts w:ascii="Verdana" w:hAnsi="Verdana" w:cs="Times New Roman"/>
          <w:sz w:val="20"/>
          <w:szCs w:val="20"/>
        </w:rPr>
        <w:t xml:space="preserve"> por la CNUDMI</w:t>
      </w:r>
      <w:r w:rsidR="00DE5C66" w:rsidRPr="008D6D6A">
        <w:rPr>
          <w:rFonts w:ascii="Verdana" w:hAnsi="Verdana" w:cs="Times New Roman"/>
          <w:sz w:val="20"/>
          <w:szCs w:val="20"/>
        </w:rPr>
        <w:t xml:space="preserve">, </w:t>
      </w:r>
      <w:r w:rsidR="00377037" w:rsidRPr="008D6D6A">
        <w:rPr>
          <w:rFonts w:ascii="Verdana" w:hAnsi="Verdana" w:cs="Times New Roman"/>
          <w:sz w:val="20"/>
          <w:szCs w:val="20"/>
        </w:rPr>
        <w:t>con ciertas excepciones</w:t>
      </w:r>
      <w:r w:rsidRPr="008D6D6A">
        <w:rPr>
          <w:rFonts w:ascii="Verdana" w:hAnsi="Verdana" w:cs="Times New Roman"/>
          <w:sz w:val="20"/>
          <w:szCs w:val="20"/>
        </w:rPr>
        <w:t xml:space="preserve"> relacionadas con la publicidad de la información y la integr</w:t>
      </w:r>
      <w:r w:rsidR="00377037" w:rsidRPr="008D6D6A">
        <w:rPr>
          <w:rFonts w:ascii="Verdana" w:hAnsi="Verdana" w:cs="Times New Roman"/>
          <w:sz w:val="20"/>
          <w:szCs w:val="20"/>
        </w:rPr>
        <w:t xml:space="preserve">idad del procedimiento arbitral, </w:t>
      </w:r>
      <w:r w:rsidR="005815E7" w:rsidRPr="008D6D6A">
        <w:rPr>
          <w:rFonts w:ascii="Verdana" w:hAnsi="Verdana" w:cs="Times New Roman"/>
          <w:sz w:val="20"/>
          <w:szCs w:val="20"/>
        </w:rPr>
        <w:t>ha tratado de revertir la presunción de confidencialidad y privacidad en los arbitrajes inversionista-Estado, estableciendo</w:t>
      </w:r>
      <w:r w:rsidR="00CB2652" w:rsidRPr="008D6D6A">
        <w:rPr>
          <w:rFonts w:ascii="Verdana" w:hAnsi="Verdana" w:cs="Times New Roman"/>
          <w:sz w:val="20"/>
          <w:szCs w:val="20"/>
        </w:rPr>
        <w:t xml:space="preserve"> una </w:t>
      </w:r>
      <w:r w:rsidR="006F59AF" w:rsidRPr="008D6D6A">
        <w:rPr>
          <w:rFonts w:ascii="Verdana" w:hAnsi="Verdana" w:cs="Times New Roman"/>
          <w:sz w:val="20"/>
          <w:szCs w:val="20"/>
        </w:rPr>
        <w:t>mayor transparencia</w:t>
      </w:r>
      <w:r w:rsidR="008048F5" w:rsidRPr="008D6D6A">
        <w:rPr>
          <w:rFonts w:ascii="Verdana" w:hAnsi="Verdana" w:cs="Times New Roman"/>
          <w:sz w:val="20"/>
          <w:szCs w:val="20"/>
        </w:rPr>
        <w:t xml:space="preserve"> respecto al carácter público de las audiencias</w:t>
      </w:r>
      <w:r w:rsidR="005815E7" w:rsidRPr="008D6D6A">
        <w:rPr>
          <w:rFonts w:ascii="Verdana" w:hAnsi="Verdana" w:cs="Times New Roman"/>
          <w:sz w:val="20"/>
          <w:szCs w:val="20"/>
        </w:rPr>
        <w:t>. Mientras</w:t>
      </w:r>
      <w:r w:rsidR="00274F90">
        <w:rPr>
          <w:rFonts w:ascii="Verdana" w:hAnsi="Verdana" w:cs="Times New Roman"/>
          <w:sz w:val="20"/>
          <w:szCs w:val="20"/>
        </w:rPr>
        <w:t xml:space="preserve"> que</w:t>
      </w:r>
      <w:r w:rsidR="001F6FEE" w:rsidRPr="008D6D6A">
        <w:rPr>
          <w:rFonts w:ascii="Verdana" w:hAnsi="Verdana" w:cs="Times New Roman"/>
          <w:sz w:val="20"/>
          <w:szCs w:val="20"/>
        </w:rPr>
        <w:t xml:space="preserve"> las Reglas de A</w:t>
      </w:r>
      <w:r w:rsidR="005815E7" w:rsidRPr="008D6D6A">
        <w:rPr>
          <w:rFonts w:ascii="Verdana" w:hAnsi="Verdana" w:cs="Times New Roman"/>
          <w:sz w:val="20"/>
          <w:szCs w:val="20"/>
        </w:rPr>
        <w:t>rbitraje del CIADI,</w:t>
      </w:r>
      <w:r w:rsidR="001F6FEE" w:rsidRPr="008D6D6A">
        <w:rPr>
          <w:rFonts w:ascii="Verdana" w:hAnsi="Verdana" w:cs="Times New Roman"/>
          <w:sz w:val="20"/>
          <w:szCs w:val="20"/>
        </w:rPr>
        <w:t xml:space="preserve"> reconocen el derecho de las partes respecto a la publicidad de las audiencias</w:t>
      </w:r>
      <w:r w:rsidR="001C67DF" w:rsidRPr="008D6D6A">
        <w:rPr>
          <w:rFonts w:ascii="Verdana" w:hAnsi="Verdana" w:cs="Times New Roman"/>
          <w:sz w:val="20"/>
          <w:szCs w:val="20"/>
        </w:rPr>
        <w:t xml:space="preserve">, conservando la discrecionalidad de las partes contendientes para permitir la transparencia en </w:t>
      </w:r>
      <w:r w:rsidR="00DE6651" w:rsidRPr="008D6D6A">
        <w:rPr>
          <w:rFonts w:ascii="Verdana" w:hAnsi="Verdana" w:cs="Times New Roman"/>
          <w:sz w:val="20"/>
          <w:szCs w:val="20"/>
        </w:rPr>
        <w:t>el arbitraje</w:t>
      </w:r>
      <w:r w:rsidR="00E02170">
        <w:rPr>
          <w:rFonts w:ascii="Verdana" w:hAnsi="Verdana" w:cs="Times New Roman"/>
          <w:sz w:val="20"/>
          <w:szCs w:val="20"/>
        </w:rPr>
        <w:t xml:space="preserve"> inversionista-Estado</w:t>
      </w:r>
      <w:r w:rsidR="001C67DF" w:rsidRPr="008D6D6A">
        <w:rPr>
          <w:rFonts w:ascii="Verdana" w:hAnsi="Verdana" w:cs="Times New Roman"/>
          <w:sz w:val="20"/>
          <w:szCs w:val="20"/>
        </w:rPr>
        <w:t>.</w:t>
      </w:r>
      <w:r w:rsidR="00C83294">
        <w:rPr>
          <w:rFonts w:ascii="Verdana" w:hAnsi="Verdana" w:cs="Times New Roman"/>
          <w:sz w:val="20"/>
          <w:szCs w:val="20"/>
        </w:rPr>
        <w:t xml:space="preserve"> </w:t>
      </w:r>
    </w:p>
    <w:p w:rsidR="00274F90" w:rsidRDefault="00EA24C2" w:rsidP="00C83294">
      <w:pPr>
        <w:tabs>
          <w:tab w:val="left" w:pos="-284"/>
          <w:tab w:val="left" w:pos="284"/>
        </w:tabs>
        <w:spacing w:line="240" w:lineRule="auto"/>
        <w:rPr>
          <w:rFonts w:ascii="Verdana" w:hAnsi="Verdana" w:cs="Times New Roman"/>
          <w:sz w:val="20"/>
          <w:szCs w:val="20"/>
        </w:rPr>
      </w:pPr>
      <w:r w:rsidRPr="008D6D6A">
        <w:rPr>
          <w:rFonts w:ascii="Verdana" w:hAnsi="Verdana" w:cs="Times New Roman"/>
          <w:sz w:val="20"/>
          <w:szCs w:val="20"/>
        </w:rPr>
        <w:t xml:space="preserve">La práctica actual de aceptar la transparencia en el arbitraje internacional sigue siendo muy restringida. La gran mayoría de los tratados que proporcionan el fundamento jurídico del sistema </w:t>
      </w:r>
      <w:r w:rsidR="006F59AF" w:rsidRPr="008D6D6A">
        <w:rPr>
          <w:rFonts w:ascii="Verdana" w:hAnsi="Verdana" w:cs="Times New Roman"/>
          <w:sz w:val="20"/>
          <w:szCs w:val="20"/>
        </w:rPr>
        <w:t>regulan con mucha parquedad u omiten las</w:t>
      </w:r>
      <w:r w:rsidRPr="008D6D6A">
        <w:rPr>
          <w:rFonts w:ascii="Verdana" w:hAnsi="Verdana" w:cs="Times New Roman"/>
          <w:sz w:val="20"/>
          <w:szCs w:val="20"/>
        </w:rPr>
        <w:t xml:space="preserve"> cuestiones relativas a la transparencia en el procedimiento arbitral. Los acontecimientos significativos han tenido lugar principalmente en el contexto de regímenes específicos de tratados y, recientemente, en el marco de la CNUDMI</w:t>
      </w:r>
      <w:r w:rsidR="003C7E24" w:rsidRPr="008D6D6A">
        <w:rPr>
          <w:rFonts w:ascii="Verdana" w:hAnsi="Verdana" w:cs="Times New Roman"/>
          <w:sz w:val="20"/>
          <w:szCs w:val="20"/>
        </w:rPr>
        <w:t>. Es por ello</w:t>
      </w:r>
      <w:r w:rsidRPr="008D6D6A">
        <w:rPr>
          <w:rFonts w:ascii="Verdana" w:hAnsi="Verdana" w:cs="Times New Roman"/>
          <w:sz w:val="20"/>
          <w:szCs w:val="20"/>
        </w:rPr>
        <w:t xml:space="preserve"> que se necesitan reformas urgentes a niv</w:t>
      </w:r>
      <w:r w:rsidR="00CD60AA" w:rsidRPr="008D6D6A">
        <w:rPr>
          <w:rFonts w:ascii="Verdana" w:hAnsi="Verdana" w:cs="Times New Roman"/>
          <w:sz w:val="20"/>
          <w:szCs w:val="20"/>
        </w:rPr>
        <w:t xml:space="preserve">el de </w:t>
      </w:r>
      <w:r w:rsidR="00C83294">
        <w:rPr>
          <w:rFonts w:ascii="Verdana" w:hAnsi="Verdana" w:cs="Times New Roman"/>
          <w:sz w:val="20"/>
          <w:szCs w:val="20"/>
        </w:rPr>
        <w:t xml:space="preserve">los propios </w:t>
      </w:r>
      <w:r w:rsidR="00CD60AA" w:rsidRPr="008D6D6A">
        <w:rPr>
          <w:rFonts w:ascii="Verdana" w:hAnsi="Verdana" w:cs="Times New Roman"/>
          <w:sz w:val="20"/>
          <w:szCs w:val="20"/>
        </w:rPr>
        <w:t>tratados o instituciones</w:t>
      </w:r>
      <w:r w:rsidR="00274F90">
        <w:rPr>
          <w:rFonts w:ascii="Verdana" w:hAnsi="Verdana" w:cs="Times New Roman"/>
          <w:sz w:val="20"/>
          <w:szCs w:val="20"/>
        </w:rPr>
        <w:t xml:space="preserve"> arbitrales</w:t>
      </w:r>
      <w:r w:rsidR="00381ECF">
        <w:rPr>
          <w:rFonts w:ascii="Verdana" w:hAnsi="Verdana" w:cs="Times New Roman"/>
          <w:sz w:val="20"/>
          <w:szCs w:val="20"/>
        </w:rPr>
        <w:t xml:space="preserve"> -y sus reglamentos-</w:t>
      </w:r>
      <w:r w:rsidRPr="008D6D6A">
        <w:rPr>
          <w:rFonts w:ascii="Verdana" w:hAnsi="Verdana" w:cs="Times New Roman"/>
          <w:sz w:val="20"/>
          <w:szCs w:val="20"/>
        </w:rPr>
        <w:t xml:space="preserve"> en materia de transparencia, </w:t>
      </w:r>
      <w:r w:rsidR="00CD60AA" w:rsidRPr="008D6D6A">
        <w:rPr>
          <w:rFonts w:ascii="Verdana" w:hAnsi="Verdana" w:cs="Times New Roman"/>
          <w:sz w:val="20"/>
          <w:szCs w:val="20"/>
        </w:rPr>
        <w:t>que puedan abordar los defectos inhe</w:t>
      </w:r>
      <w:r w:rsidR="00C83294">
        <w:rPr>
          <w:rFonts w:ascii="Verdana" w:hAnsi="Verdana" w:cs="Times New Roman"/>
          <w:sz w:val="20"/>
          <w:szCs w:val="20"/>
        </w:rPr>
        <w:t xml:space="preserve">rentes al sistema </w:t>
      </w:r>
      <w:r w:rsidR="00CD60AA" w:rsidRPr="008D6D6A">
        <w:rPr>
          <w:rFonts w:ascii="Verdana" w:hAnsi="Verdana" w:cs="Times New Roman"/>
          <w:sz w:val="20"/>
          <w:szCs w:val="20"/>
        </w:rPr>
        <w:t>inversionista-Estado</w:t>
      </w:r>
      <w:r w:rsidR="005379E5" w:rsidRPr="008D6D6A">
        <w:rPr>
          <w:rFonts w:ascii="Verdana" w:hAnsi="Verdana" w:cs="Times New Roman"/>
          <w:sz w:val="20"/>
          <w:szCs w:val="20"/>
        </w:rPr>
        <w:t>,</w:t>
      </w:r>
      <w:r w:rsidR="00CD60AA" w:rsidRPr="008D6D6A">
        <w:rPr>
          <w:rFonts w:ascii="Verdana" w:hAnsi="Verdana" w:cs="Times New Roman"/>
          <w:sz w:val="20"/>
          <w:szCs w:val="20"/>
        </w:rPr>
        <w:t xml:space="preserve"> e incluyan también principios que consideren </w:t>
      </w:r>
      <w:r w:rsidR="005379E5" w:rsidRPr="008D6D6A">
        <w:rPr>
          <w:rFonts w:ascii="Verdana" w:hAnsi="Verdana" w:cs="Times New Roman"/>
          <w:sz w:val="20"/>
          <w:szCs w:val="20"/>
        </w:rPr>
        <w:t>la primacía de los D</w:t>
      </w:r>
      <w:r w:rsidR="00CD60AA" w:rsidRPr="008D6D6A">
        <w:rPr>
          <w:rFonts w:ascii="Verdana" w:hAnsi="Verdana" w:cs="Times New Roman"/>
          <w:sz w:val="20"/>
          <w:szCs w:val="20"/>
        </w:rPr>
        <w:t xml:space="preserve">erechos </w:t>
      </w:r>
      <w:r w:rsidR="00303927" w:rsidRPr="008D6D6A">
        <w:rPr>
          <w:rFonts w:ascii="Verdana" w:hAnsi="Verdana" w:cs="Times New Roman"/>
          <w:sz w:val="20"/>
          <w:szCs w:val="20"/>
        </w:rPr>
        <w:t>Humanos y el m</w:t>
      </w:r>
      <w:r w:rsidR="00CD60AA" w:rsidRPr="008D6D6A">
        <w:rPr>
          <w:rFonts w:ascii="Verdana" w:hAnsi="Verdana" w:cs="Times New Roman"/>
          <w:sz w:val="20"/>
          <w:szCs w:val="20"/>
        </w:rPr>
        <w:t xml:space="preserve">edio </w:t>
      </w:r>
      <w:r w:rsidR="00303927" w:rsidRPr="008D6D6A">
        <w:rPr>
          <w:rFonts w:ascii="Verdana" w:hAnsi="Verdana" w:cs="Times New Roman"/>
          <w:sz w:val="20"/>
          <w:szCs w:val="20"/>
        </w:rPr>
        <w:t>a</w:t>
      </w:r>
      <w:r w:rsidR="00CD60AA" w:rsidRPr="008D6D6A">
        <w:rPr>
          <w:rFonts w:ascii="Verdana" w:hAnsi="Verdana" w:cs="Times New Roman"/>
          <w:sz w:val="20"/>
          <w:szCs w:val="20"/>
        </w:rPr>
        <w:t>mbiente por sobre los intereses del capital privado o las grandes corporaciones. De</w:t>
      </w:r>
      <w:r w:rsidR="00C83294">
        <w:rPr>
          <w:rFonts w:ascii="Verdana" w:hAnsi="Verdana" w:cs="Times New Roman"/>
          <w:sz w:val="20"/>
          <w:szCs w:val="20"/>
        </w:rPr>
        <w:t xml:space="preserve"> esta manera</w:t>
      </w:r>
      <w:r w:rsidRPr="008D6D6A">
        <w:rPr>
          <w:rFonts w:ascii="Verdana" w:hAnsi="Verdana" w:cs="Times New Roman"/>
          <w:sz w:val="20"/>
          <w:szCs w:val="20"/>
        </w:rPr>
        <w:t xml:space="preserve">, se logrará también una mayor influencia en los tribunales </w:t>
      </w:r>
      <w:r w:rsidR="003C7E24" w:rsidRPr="008D6D6A">
        <w:rPr>
          <w:rFonts w:ascii="Verdana" w:hAnsi="Verdana" w:cs="Times New Roman"/>
          <w:sz w:val="20"/>
          <w:szCs w:val="20"/>
        </w:rPr>
        <w:t xml:space="preserve">arbitrales </w:t>
      </w:r>
      <w:r w:rsidRPr="008D6D6A">
        <w:rPr>
          <w:rFonts w:ascii="Verdana" w:hAnsi="Verdana" w:cs="Times New Roman"/>
          <w:sz w:val="20"/>
          <w:szCs w:val="20"/>
        </w:rPr>
        <w:t xml:space="preserve">en materia de transparencia. </w:t>
      </w:r>
    </w:p>
    <w:p w:rsidR="00EA24C2" w:rsidRDefault="00274F90" w:rsidP="00C83294">
      <w:pPr>
        <w:tabs>
          <w:tab w:val="left" w:pos="-284"/>
          <w:tab w:val="left" w:pos="284"/>
        </w:tabs>
        <w:spacing w:line="240" w:lineRule="auto"/>
        <w:rPr>
          <w:rFonts w:ascii="Verdana" w:hAnsi="Verdana" w:cs="Times New Roman"/>
          <w:sz w:val="20"/>
          <w:szCs w:val="20"/>
        </w:rPr>
      </w:pPr>
      <w:r>
        <w:rPr>
          <w:rFonts w:ascii="Verdana" w:hAnsi="Verdana" w:cs="Times New Roman"/>
          <w:sz w:val="20"/>
          <w:szCs w:val="20"/>
        </w:rPr>
        <w:t>Así pues, e</w:t>
      </w:r>
      <w:r w:rsidRPr="008D6D6A">
        <w:rPr>
          <w:rFonts w:ascii="Verdana" w:hAnsi="Verdana" w:cs="Times New Roman"/>
          <w:sz w:val="20"/>
          <w:szCs w:val="20"/>
        </w:rPr>
        <w:t>l éxito de la Convención de Mauricio no solo dependerá del número de Estados que la ratifiquen sin reservas, sino también de que las partes sean capaces de establecer y reconocer su aplicación en el propio cuerpo del tratado.</w:t>
      </w:r>
    </w:p>
    <w:p w:rsidR="00B4697A" w:rsidRDefault="00B4697A" w:rsidP="00C83294">
      <w:pPr>
        <w:tabs>
          <w:tab w:val="left" w:pos="-284"/>
          <w:tab w:val="left" w:pos="284"/>
        </w:tabs>
        <w:spacing w:line="240" w:lineRule="auto"/>
        <w:rPr>
          <w:rFonts w:ascii="Verdana" w:hAnsi="Verdana" w:cs="Times New Roman"/>
          <w:sz w:val="20"/>
          <w:szCs w:val="20"/>
        </w:rPr>
      </w:pPr>
    </w:p>
    <w:p w:rsidR="00C83294" w:rsidRPr="00C83294" w:rsidRDefault="00C83294" w:rsidP="005E48B6">
      <w:pPr>
        <w:tabs>
          <w:tab w:val="left" w:pos="-284"/>
          <w:tab w:val="left" w:pos="284"/>
        </w:tabs>
        <w:spacing w:line="240" w:lineRule="auto"/>
        <w:ind w:firstLine="0"/>
        <w:rPr>
          <w:rFonts w:ascii="Verdana" w:hAnsi="Verdana" w:cs="Times New Roman"/>
          <w:b/>
          <w:sz w:val="20"/>
          <w:szCs w:val="20"/>
        </w:rPr>
      </w:pPr>
      <w:r w:rsidRPr="00C83294">
        <w:rPr>
          <w:rFonts w:ascii="Verdana" w:hAnsi="Verdana" w:cs="Times New Roman"/>
          <w:b/>
          <w:sz w:val="20"/>
          <w:szCs w:val="20"/>
        </w:rPr>
        <w:t>7. Bibliografía</w:t>
      </w:r>
      <w:r w:rsidR="00AA3DB0">
        <w:rPr>
          <w:rFonts w:ascii="Verdana" w:hAnsi="Verdana" w:cs="Times New Roman"/>
          <w:b/>
          <w:sz w:val="20"/>
          <w:szCs w:val="20"/>
        </w:rPr>
        <w:t>.</w:t>
      </w:r>
    </w:p>
    <w:bookmarkEnd w:id="64"/>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BERNASCONI-OSTERWALDER, N., JOHNSON, L. (Eds.). </w:t>
      </w:r>
      <w:r w:rsidRPr="000076BC">
        <w:rPr>
          <w:rFonts w:ascii="Verdana" w:hAnsi="Verdana" w:cs="Times New Roman"/>
          <w:i/>
          <w:sz w:val="20"/>
          <w:szCs w:val="20"/>
          <w:lang w:val="en-US"/>
        </w:rPr>
        <w:t>International Investment Law and Sustainable Development Key Cases from 2000-2010</w:t>
      </w:r>
      <w:r w:rsidRPr="000076BC">
        <w:rPr>
          <w:rFonts w:ascii="Verdana" w:hAnsi="Verdana" w:cs="Times New Roman"/>
          <w:sz w:val="20"/>
          <w:szCs w:val="20"/>
          <w:lang w:val="en-US"/>
        </w:rPr>
        <w:t>, Winnepeg: International Institute for Sustainable Development, 2011</w:t>
      </w:r>
      <w:r>
        <w:rPr>
          <w:rFonts w:ascii="Verdana" w:hAnsi="Verdana" w:cs="Times New Roman"/>
          <w:sz w:val="20"/>
          <w:szCs w:val="20"/>
          <w:lang w:val="en-US"/>
        </w:rPr>
        <w:t>.</w:t>
      </w:r>
    </w:p>
    <w:p w:rsidR="006C48EE" w:rsidRDefault="006C48EE" w:rsidP="00F95B20">
      <w:pPr>
        <w:tabs>
          <w:tab w:val="left" w:pos="-284"/>
          <w:tab w:val="left" w:pos="284"/>
        </w:tabs>
        <w:spacing w:line="240" w:lineRule="auto"/>
        <w:ind w:left="284" w:hanging="284"/>
        <w:rPr>
          <w:rFonts w:ascii="Verdana" w:hAnsi="Verdana" w:cs="Times New Roman"/>
          <w:sz w:val="20"/>
          <w:szCs w:val="20"/>
          <w:lang w:val="en-US"/>
        </w:rPr>
      </w:pPr>
    </w:p>
    <w:p w:rsidR="006C48EE" w:rsidRDefault="006C48EE" w:rsidP="00F95B20">
      <w:pPr>
        <w:tabs>
          <w:tab w:val="left" w:pos="-284"/>
          <w:tab w:val="left" w:pos="284"/>
        </w:tabs>
        <w:spacing w:line="240" w:lineRule="auto"/>
        <w:ind w:left="284" w:hanging="284"/>
        <w:rPr>
          <w:rFonts w:ascii="Verdana" w:hAnsi="Verdana" w:cs="Times New Roman"/>
          <w:sz w:val="20"/>
          <w:szCs w:val="20"/>
          <w:lang w:val="en-US"/>
        </w:rPr>
      </w:pPr>
      <w:r w:rsidRPr="006C48EE">
        <w:rPr>
          <w:rFonts w:ascii="Verdana" w:hAnsi="Verdana" w:cs="Times New Roman"/>
          <w:sz w:val="20"/>
          <w:szCs w:val="20"/>
          <w:lang w:val="en-US"/>
        </w:rPr>
        <w:lastRenderedPageBreak/>
        <w:t xml:space="preserve">BERNASCONI-OSTERWALDER, N., JOHNSON, L. “Transparency in the dispute settlement process: Country best practices </w:t>
      </w:r>
      <w:r w:rsidR="00BE282A">
        <w:rPr>
          <w:rFonts w:ascii="Verdana" w:hAnsi="Verdana" w:cs="Times New Roman"/>
          <w:sz w:val="20"/>
          <w:szCs w:val="20"/>
          <w:lang w:val="en-US"/>
        </w:rPr>
        <w:t xml:space="preserve">(IISD &amp; CIEL)”, </w:t>
      </w:r>
      <w:r w:rsidRPr="006C48EE">
        <w:rPr>
          <w:rFonts w:ascii="Verdana" w:hAnsi="Verdana" w:cs="Times New Roman"/>
          <w:sz w:val="20"/>
          <w:szCs w:val="20"/>
          <w:lang w:val="en-US"/>
        </w:rPr>
        <w:t xml:space="preserve"> </w:t>
      </w:r>
      <w:hyperlink r:id="rId9" w:history="1">
        <w:r w:rsidRPr="00160481">
          <w:rPr>
            <w:rStyle w:val="Hipervnculo"/>
            <w:rFonts w:ascii="Verdana" w:hAnsi="Verdana" w:cs="Times New Roman"/>
            <w:sz w:val="20"/>
            <w:szCs w:val="20"/>
            <w:lang w:val="en-US"/>
          </w:rPr>
          <w:t>http://www.iisd.org/publications/pub.aspx?id=1529</w:t>
        </w:r>
      </w:hyperlink>
      <w:r>
        <w:rPr>
          <w:rFonts w:ascii="Verdana" w:hAnsi="Verdana" w:cs="Times New Roman"/>
          <w:sz w:val="20"/>
          <w:szCs w:val="20"/>
          <w:lang w:val="en-US"/>
        </w:rPr>
        <w:t xml:space="preserve">, </w:t>
      </w:r>
      <w:r w:rsidRPr="006C48EE">
        <w:rPr>
          <w:rFonts w:ascii="Verdana" w:hAnsi="Verdana" w:cs="Times New Roman"/>
          <w:sz w:val="20"/>
          <w:szCs w:val="20"/>
          <w:lang w:val="en-US"/>
        </w:rPr>
        <w:t>2011</w:t>
      </w:r>
      <w:r>
        <w:rPr>
          <w:rFonts w:ascii="Verdana" w:hAnsi="Verdana" w:cs="Times New Roman"/>
          <w:sz w:val="20"/>
          <w:szCs w:val="20"/>
          <w:lang w:val="en-US"/>
        </w:rPr>
        <w:t>.</w:t>
      </w: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p>
    <w:p w:rsidR="00CE6081" w:rsidRDefault="00CE6081" w:rsidP="00F95B20">
      <w:pPr>
        <w:tabs>
          <w:tab w:val="left" w:pos="-284"/>
          <w:tab w:val="left" w:pos="284"/>
        </w:tabs>
        <w:spacing w:line="240" w:lineRule="auto"/>
        <w:ind w:left="284" w:hanging="284"/>
        <w:rPr>
          <w:rFonts w:ascii="Verdana" w:hAnsi="Verdana" w:cs="Times New Roman"/>
          <w:sz w:val="20"/>
          <w:szCs w:val="20"/>
          <w:lang w:val="en-US"/>
        </w:rPr>
      </w:pPr>
      <w:r w:rsidRPr="00CE6081">
        <w:rPr>
          <w:rFonts w:ascii="Verdana" w:hAnsi="Verdana" w:cs="Times New Roman"/>
          <w:sz w:val="20"/>
          <w:szCs w:val="20"/>
          <w:lang w:val="en-US"/>
        </w:rPr>
        <w:t xml:space="preserve">BOISSON DE CHAZOURNES, L., BARUTI, R. “Transparency in Investor-State Arbitration: An Incremental Approach”, </w:t>
      </w:r>
      <w:r w:rsidRPr="00CE6081">
        <w:rPr>
          <w:rFonts w:ascii="Verdana" w:hAnsi="Verdana" w:cs="Times New Roman"/>
          <w:i/>
          <w:sz w:val="20"/>
          <w:szCs w:val="20"/>
          <w:lang w:val="en-US"/>
        </w:rPr>
        <w:t>Bahrain Chamber for Dispute Resolution International Arbitration Review</w:t>
      </w:r>
      <w:r w:rsidRPr="00CE6081">
        <w:rPr>
          <w:rFonts w:ascii="Verdana" w:hAnsi="Verdana" w:cs="Times New Roman"/>
          <w:sz w:val="20"/>
          <w:szCs w:val="20"/>
          <w:lang w:val="en-US"/>
        </w:rPr>
        <w:t>, Vol. 2, No. 1, 2015</w:t>
      </w:r>
      <w:r>
        <w:rPr>
          <w:rFonts w:ascii="Verdana" w:hAnsi="Verdana" w:cs="Times New Roman"/>
          <w:sz w:val="20"/>
          <w:szCs w:val="20"/>
          <w:lang w:val="en-US"/>
        </w:rPr>
        <w:t>.</w:t>
      </w:r>
    </w:p>
    <w:p w:rsidR="00CE6081" w:rsidRDefault="00CE6081" w:rsidP="00F95B20">
      <w:pPr>
        <w:tabs>
          <w:tab w:val="left" w:pos="-284"/>
          <w:tab w:val="left" w:pos="284"/>
        </w:tabs>
        <w:spacing w:line="240" w:lineRule="auto"/>
        <w:ind w:left="284" w:hanging="284"/>
        <w:rPr>
          <w:rFonts w:ascii="Verdana" w:hAnsi="Verdana" w:cs="Times New Roman"/>
          <w:sz w:val="20"/>
          <w:szCs w:val="20"/>
          <w:lang w:val="en-US"/>
        </w:rPr>
      </w:pPr>
    </w:p>
    <w:p w:rsidR="00AE76AE" w:rsidRDefault="00AE76AE" w:rsidP="00AE76AE">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DE LY, F., FRIEDMAN, M., RADICATI DI BROZOLO, L. (Eds.). “International Law Association International Commercial Arbitration Committee's Report and Recommendations on 'Confidentiality in International Commercial Arbitration”, </w:t>
      </w:r>
      <w:r w:rsidRPr="000076BC">
        <w:rPr>
          <w:rFonts w:ascii="Verdana" w:hAnsi="Verdana" w:cs="Times New Roman"/>
          <w:i/>
          <w:sz w:val="20"/>
          <w:szCs w:val="20"/>
          <w:lang w:val="en-US"/>
        </w:rPr>
        <w:t>International Law Association</w:t>
      </w:r>
      <w:r w:rsidRPr="000076BC">
        <w:rPr>
          <w:rFonts w:ascii="Verdana" w:hAnsi="Verdana" w:cs="Times New Roman"/>
          <w:sz w:val="20"/>
          <w:szCs w:val="20"/>
          <w:lang w:val="en-US"/>
        </w:rPr>
        <w:t>, 2012</w:t>
      </w:r>
      <w:r>
        <w:rPr>
          <w:rFonts w:ascii="Verdana" w:hAnsi="Verdana" w:cs="Times New Roman"/>
          <w:sz w:val="20"/>
          <w:szCs w:val="20"/>
          <w:lang w:val="en-US"/>
        </w:rPr>
        <w:t>.</w:t>
      </w:r>
    </w:p>
    <w:p w:rsidR="00AE76AE" w:rsidRDefault="00AE76AE" w:rsidP="00AE76AE">
      <w:pPr>
        <w:tabs>
          <w:tab w:val="left" w:pos="-284"/>
          <w:tab w:val="left" w:pos="284"/>
        </w:tabs>
        <w:spacing w:line="240" w:lineRule="auto"/>
        <w:ind w:left="284" w:hanging="284"/>
        <w:rPr>
          <w:rFonts w:ascii="Verdana" w:hAnsi="Verdana" w:cs="Times New Roman"/>
          <w:sz w:val="20"/>
          <w:szCs w:val="20"/>
          <w:lang w:val="en-US"/>
        </w:rPr>
      </w:pP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DUSSAN LAVERDE, S. “Analysis of the Principle of Transparency with Special Reference to Its Implications for the Procedure of International Investment Arbitration”, </w:t>
      </w:r>
      <w:r w:rsidRPr="000076BC">
        <w:rPr>
          <w:rFonts w:ascii="Verdana" w:hAnsi="Verdana" w:cs="Times New Roman"/>
          <w:i/>
          <w:sz w:val="20"/>
          <w:szCs w:val="20"/>
          <w:lang w:val="en-US"/>
        </w:rPr>
        <w:t>Criterio Jurídico</w:t>
      </w:r>
      <w:r w:rsidRPr="000076BC">
        <w:rPr>
          <w:rFonts w:ascii="Verdana" w:hAnsi="Verdana" w:cs="Times New Roman"/>
          <w:sz w:val="20"/>
          <w:szCs w:val="20"/>
          <w:lang w:val="en-US"/>
        </w:rPr>
        <w:t>, Vol. 11, No. 1, 2011</w:t>
      </w:r>
      <w:r>
        <w:rPr>
          <w:rFonts w:ascii="Verdana" w:hAnsi="Verdana" w:cs="Times New Roman"/>
          <w:sz w:val="20"/>
          <w:szCs w:val="20"/>
          <w:lang w:val="en-US"/>
        </w:rPr>
        <w:t>.</w:t>
      </w: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p>
    <w:p w:rsidR="006D66DF" w:rsidRDefault="006D66DF" w:rsidP="00F95B20">
      <w:pPr>
        <w:tabs>
          <w:tab w:val="left" w:pos="-284"/>
          <w:tab w:val="left" w:pos="284"/>
        </w:tabs>
        <w:spacing w:line="240" w:lineRule="auto"/>
        <w:ind w:left="284" w:hanging="284"/>
        <w:rPr>
          <w:rFonts w:ascii="Verdana" w:hAnsi="Verdana" w:cs="Times New Roman"/>
          <w:sz w:val="20"/>
          <w:szCs w:val="20"/>
          <w:lang w:val="en-US"/>
        </w:rPr>
      </w:pPr>
      <w:r w:rsidRPr="006D66DF">
        <w:rPr>
          <w:rFonts w:ascii="Verdana" w:hAnsi="Verdana" w:cs="Times New Roman"/>
          <w:sz w:val="20"/>
          <w:szCs w:val="20"/>
          <w:lang w:val="en-US"/>
        </w:rPr>
        <w:t xml:space="preserve">FELICIANO, F. “The 'Ordre Public' Dimensions of Confidentiality and Transparency in International Arbitration: Examining Confidentiality in the Light of Governance Requirements in International Investment and Trade Arbitration”, in NAKAGAWA, J. (Ed). </w:t>
      </w:r>
      <w:r w:rsidRPr="006D66DF">
        <w:rPr>
          <w:rFonts w:ascii="Verdana" w:hAnsi="Verdana" w:cs="Times New Roman"/>
          <w:i/>
          <w:sz w:val="20"/>
          <w:szCs w:val="20"/>
          <w:lang w:val="en-US"/>
        </w:rPr>
        <w:t>Transparency in International Trade and Investment Dispute Settlement</w:t>
      </w:r>
      <w:r w:rsidRPr="006D66DF">
        <w:rPr>
          <w:rFonts w:ascii="Verdana" w:hAnsi="Verdana" w:cs="Times New Roman"/>
          <w:sz w:val="20"/>
          <w:szCs w:val="20"/>
          <w:lang w:val="en-US"/>
        </w:rPr>
        <w:t>, Routledge, London, 2013</w:t>
      </w:r>
      <w:r>
        <w:rPr>
          <w:rFonts w:ascii="Verdana" w:hAnsi="Verdana" w:cs="Times New Roman"/>
          <w:sz w:val="20"/>
          <w:szCs w:val="20"/>
          <w:lang w:val="en-US"/>
        </w:rPr>
        <w:t>.</w:t>
      </w:r>
    </w:p>
    <w:p w:rsidR="006D66DF" w:rsidRDefault="006D66DF" w:rsidP="00F95B20">
      <w:pPr>
        <w:tabs>
          <w:tab w:val="left" w:pos="-284"/>
          <w:tab w:val="left" w:pos="284"/>
        </w:tabs>
        <w:spacing w:line="240" w:lineRule="auto"/>
        <w:ind w:left="284" w:hanging="284"/>
        <w:rPr>
          <w:rFonts w:ascii="Verdana" w:hAnsi="Verdana" w:cs="Times New Roman"/>
          <w:sz w:val="20"/>
          <w:szCs w:val="20"/>
          <w:lang w:val="en-US"/>
        </w:rPr>
      </w:pPr>
    </w:p>
    <w:p w:rsidR="003E4137" w:rsidRDefault="003E4137" w:rsidP="00F95B20">
      <w:pPr>
        <w:tabs>
          <w:tab w:val="left" w:pos="-284"/>
          <w:tab w:val="left" w:pos="284"/>
        </w:tabs>
        <w:spacing w:line="240" w:lineRule="auto"/>
        <w:ind w:left="284" w:hanging="284"/>
        <w:rPr>
          <w:rFonts w:ascii="Verdana" w:hAnsi="Verdana" w:cs="Times New Roman"/>
          <w:sz w:val="20"/>
          <w:szCs w:val="20"/>
          <w:lang w:val="en-US"/>
        </w:rPr>
      </w:pPr>
      <w:r w:rsidRPr="003E4137">
        <w:rPr>
          <w:rFonts w:ascii="Verdana" w:hAnsi="Verdana" w:cs="Times New Roman"/>
          <w:sz w:val="20"/>
          <w:szCs w:val="20"/>
          <w:lang w:val="en-US"/>
        </w:rPr>
        <w:t xml:space="preserve">FERNÁNDEZ ARROYO, D.P. “El auge del arbitraje frente al </w:t>
      </w:r>
      <w:r>
        <w:rPr>
          <w:rFonts w:ascii="Verdana" w:hAnsi="Verdana" w:cs="Times New Roman"/>
          <w:sz w:val="20"/>
          <w:szCs w:val="20"/>
          <w:lang w:val="en-US"/>
        </w:rPr>
        <w:t xml:space="preserve">debate sobre su legitimidad”, </w:t>
      </w:r>
      <w:r w:rsidRPr="003E4137">
        <w:rPr>
          <w:rFonts w:ascii="Verdana" w:hAnsi="Verdana" w:cs="Times New Roman"/>
          <w:i/>
          <w:sz w:val="20"/>
          <w:szCs w:val="20"/>
          <w:lang w:val="en-US"/>
        </w:rPr>
        <w:t>Jornadas sobre The Transformation of Enforcement</w:t>
      </w:r>
      <w:r w:rsidRPr="003E4137">
        <w:rPr>
          <w:rFonts w:ascii="Verdana" w:hAnsi="Verdana" w:cs="Times New Roman"/>
          <w:sz w:val="20"/>
          <w:szCs w:val="20"/>
          <w:lang w:val="en-US"/>
        </w:rPr>
        <w:t>, Instituto Universitario Europeo de Florencia, 2013</w:t>
      </w:r>
      <w:r>
        <w:rPr>
          <w:rFonts w:ascii="Verdana" w:hAnsi="Verdana" w:cs="Times New Roman"/>
          <w:sz w:val="20"/>
          <w:szCs w:val="20"/>
          <w:lang w:val="en-US"/>
        </w:rPr>
        <w:t>.</w:t>
      </w:r>
    </w:p>
    <w:p w:rsidR="006D66DF" w:rsidRDefault="006D66DF" w:rsidP="00F95B20">
      <w:pPr>
        <w:tabs>
          <w:tab w:val="left" w:pos="-284"/>
          <w:tab w:val="left" w:pos="284"/>
        </w:tabs>
        <w:spacing w:line="240" w:lineRule="auto"/>
        <w:ind w:left="284" w:hanging="284"/>
        <w:rPr>
          <w:rFonts w:ascii="Verdana" w:hAnsi="Verdana" w:cs="Times New Roman"/>
          <w:sz w:val="20"/>
          <w:szCs w:val="20"/>
          <w:lang w:val="en-US"/>
        </w:rPr>
      </w:pP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r w:rsidRPr="00707381">
        <w:rPr>
          <w:rFonts w:ascii="Verdana" w:hAnsi="Verdana" w:cs="Times New Roman"/>
          <w:sz w:val="20"/>
          <w:szCs w:val="20"/>
          <w:lang w:val="en-US"/>
        </w:rPr>
        <w:t xml:space="preserve">FERNÁNEZ ARROYO, D. “La Transparencia como paradigma del arbitraje de inversiones”, en TANZI, A., ASTERITI, A., POLANCO LAZO, R., TURRINI, P. </w:t>
      </w:r>
      <w:r w:rsidRPr="00707381">
        <w:rPr>
          <w:rFonts w:ascii="Verdana" w:hAnsi="Verdana" w:cs="Times New Roman"/>
          <w:i/>
          <w:sz w:val="20"/>
          <w:szCs w:val="20"/>
          <w:lang w:val="en-US"/>
        </w:rPr>
        <w:t>Derecho internacional de las inversiones en América Latina: problemas y perspectivas</w:t>
      </w:r>
      <w:r w:rsidRPr="00707381">
        <w:rPr>
          <w:rFonts w:ascii="Verdana" w:hAnsi="Verdana" w:cs="Times New Roman"/>
          <w:sz w:val="20"/>
          <w:szCs w:val="20"/>
          <w:lang w:val="en-US"/>
        </w:rPr>
        <w:t>, Brill Nijhoff, Netherlands, 2016</w:t>
      </w:r>
      <w:r>
        <w:rPr>
          <w:rFonts w:ascii="Verdana" w:hAnsi="Verdana" w:cs="Times New Roman"/>
          <w:sz w:val="20"/>
          <w:szCs w:val="20"/>
          <w:lang w:val="en-US"/>
        </w:rPr>
        <w:t>.</w:t>
      </w:r>
    </w:p>
    <w:p w:rsidR="006E10EA" w:rsidRDefault="006E10EA" w:rsidP="00F95B20">
      <w:pPr>
        <w:tabs>
          <w:tab w:val="left" w:pos="-284"/>
          <w:tab w:val="left" w:pos="284"/>
        </w:tabs>
        <w:spacing w:line="240" w:lineRule="auto"/>
        <w:ind w:left="284" w:hanging="284"/>
        <w:rPr>
          <w:rFonts w:ascii="Verdana" w:hAnsi="Verdana" w:cs="Times New Roman"/>
          <w:sz w:val="20"/>
          <w:szCs w:val="20"/>
          <w:lang w:val="en-US"/>
        </w:rPr>
      </w:pPr>
    </w:p>
    <w:p w:rsidR="006E10EA" w:rsidRDefault="006E10EA" w:rsidP="00F95B20">
      <w:pPr>
        <w:tabs>
          <w:tab w:val="left" w:pos="-284"/>
          <w:tab w:val="left" w:pos="284"/>
        </w:tabs>
        <w:spacing w:line="240" w:lineRule="auto"/>
        <w:ind w:left="284" w:hanging="284"/>
        <w:rPr>
          <w:rFonts w:ascii="Verdana" w:hAnsi="Verdana" w:cs="Times New Roman"/>
          <w:sz w:val="20"/>
          <w:szCs w:val="20"/>
          <w:lang w:val="en-US"/>
        </w:rPr>
      </w:pPr>
      <w:r w:rsidRPr="006E10EA">
        <w:rPr>
          <w:rFonts w:ascii="Verdana" w:hAnsi="Verdana" w:cs="Times New Roman"/>
          <w:sz w:val="20"/>
          <w:szCs w:val="20"/>
          <w:lang w:val="en-US"/>
        </w:rPr>
        <w:t xml:space="preserve">FRANCK, S.D. “The Nature and Enforcement of Investor Rights under Investment Treaties: Do Investment Treaties have a Bright Future”, </w:t>
      </w:r>
      <w:r w:rsidRPr="006E10EA">
        <w:rPr>
          <w:rFonts w:ascii="Verdana" w:hAnsi="Verdana" w:cs="Times New Roman"/>
          <w:i/>
          <w:sz w:val="20"/>
          <w:szCs w:val="20"/>
          <w:lang w:val="en-US"/>
        </w:rPr>
        <w:t>University of California</w:t>
      </w:r>
      <w:r w:rsidRPr="006E10EA">
        <w:rPr>
          <w:rFonts w:ascii="Verdana" w:hAnsi="Verdana" w:cs="Times New Roman"/>
          <w:sz w:val="20"/>
          <w:szCs w:val="20"/>
          <w:lang w:val="en-US"/>
        </w:rPr>
        <w:t>, Vol. 12:47, 2005</w:t>
      </w:r>
      <w:r>
        <w:rPr>
          <w:rFonts w:ascii="Verdana" w:hAnsi="Verdana" w:cs="Times New Roman"/>
          <w:sz w:val="20"/>
          <w:szCs w:val="20"/>
          <w:lang w:val="en-US"/>
        </w:rPr>
        <w:t>.</w:t>
      </w:r>
    </w:p>
    <w:p w:rsidR="00CE1A7D" w:rsidRDefault="00CE1A7D" w:rsidP="00F95B20">
      <w:pPr>
        <w:tabs>
          <w:tab w:val="left" w:pos="-284"/>
          <w:tab w:val="left" w:pos="284"/>
        </w:tabs>
        <w:spacing w:line="240" w:lineRule="auto"/>
        <w:ind w:left="284" w:hanging="284"/>
        <w:rPr>
          <w:rFonts w:ascii="Verdana" w:hAnsi="Verdana" w:cs="Times New Roman"/>
          <w:sz w:val="20"/>
          <w:szCs w:val="20"/>
          <w:lang w:val="en-US"/>
        </w:rPr>
      </w:pPr>
    </w:p>
    <w:p w:rsidR="00CE1A7D" w:rsidRDefault="00CE1A7D" w:rsidP="00F95B20">
      <w:pPr>
        <w:tabs>
          <w:tab w:val="left" w:pos="-284"/>
          <w:tab w:val="left" w:pos="284"/>
        </w:tabs>
        <w:spacing w:line="240" w:lineRule="auto"/>
        <w:ind w:left="284" w:hanging="284"/>
        <w:rPr>
          <w:rFonts w:ascii="Verdana" w:hAnsi="Verdana" w:cs="Times New Roman"/>
          <w:sz w:val="20"/>
          <w:szCs w:val="20"/>
          <w:lang w:val="en-US"/>
        </w:rPr>
      </w:pPr>
      <w:r w:rsidRPr="00CE1A7D">
        <w:rPr>
          <w:rFonts w:ascii="Verdana" w:hAnsi="Verdana" w:cs="Times New Roman"/>
          <w:sz w:val="20"/>
          <w:szCs w:val="20"/>
          <w:lang w:val="en-US"/>
        </w:rPr>
        <w:t xml:space="preserve">FRY, J.D., REPOUSIS O.G. “Intertemporality and International Investment Arbitration: Protecting the Jurisdiction of Established Tribunals”, </w:t>
      </w:r>
      <w:r w:rsidRPr="00CE1A7D">
        <w:rPr>
          <w:rFonts w:ascii="Verdana" w:hAnsi="Verdana" w:cs="Times New Roman"/>
          <w:i/>
          <w:sz w:val="20"/>
          <w:szCs w:val="20"/>
          <w:lang w:val="en-US"/>
        </w:rPr>
        <w:t>Arbitration International Law</w:t>
      </w:r>
      <w:r w:rsidRPr="00CE1A7D">
        <w:rPr>
          <w:rFonts w:ascii="Verdana" w:hAnsi="Verdana" w:cs="Times New Roman"/>
          <w:sz w:val="20"/>
          <w:szCs w:val="20"/>
          <w:lang w:val="en-US"/>
        </w:rPr>
        <w:t>, Vol 31, 2015</w:t>
      </w:r>
      <w:r>
        <w:rPr>
          <w:rFonts w:ascii="Verdana" w:hAnsi="Verdana" w:cs="Times New Roman"/>
          <w:sz w:val="20"/>
          <w:szCs w:val="20"/>
          <w:lang w:val="en-US"/>
        </w:rPr>
        <w:t>.</w:t>
      </w: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p>
    <w:p w:rsidR="001D353B" w:rsidRDefault="003E4137" w:rsidP="00F95B20">
      <w:pPr>
        <w:tabs>
          <w:tab w:val="left" w:pos="-284"/>
          <w:tab w:val="left" w:pos="284"/>
        </w:tabs>
        <w:spacing w:line="240" w:lineRule="auto"/>
        <w:ind w:left="284" w:hanging="284"/>
        <w:rPr>
          <w:rFonts w:ascii="Verdana" w:hAnsi="Verdana" w:cs="Times New Roman"/>
          <w:sz w:val="20"/>
          <w:szCs w:val="20"/>
          <w:lang w:val="en-US"/>
        </w:rPr>
      </w:pPr>
      <w:r w:rsidRPr="003E4137">
        <w:rPr>
          <w:rFonts w:ascii="Verdana" w:hAnsi="Verdana" w:cs="Times New Roman"/>
          <w:sz w:val="20"/>
          <w:szCs w:val="20"/>
          <w:lang w:val="en-US"/>
        </w:rPr>
        <w:t xml:space="preserve">GAILLARD, E., DE LAPASSE, P. “Le nouveau droit français de l´arbitrage interne et international”, </w:t>
      </w:r>
      <w:r w:rsidRPr="003E4137">
        <w:rPr>
          <w:rFonts w:ascii="Verdana" w:hAnsi="Verdana" w:cs="Times New Roman"/>
          <w:i/>
          <w:sz w:val="20"/>
          <w:szCs w:val="20"/>
          <w:lang w:val="en-US"/>
        </w:rPr>
        <w:t>Recueil Dalloz</w:t>
      </w:r>
      <w:r w:rsidRPr="003E4137">
        <w:rPr>
          <w:rFonts w:ascii="Verdana" w:hAnsi="Verdana" w:cs="Times New Roman"/>
          <w:sz w:val="20"/>
          <w:szCs w:val="20"/>
          <w:lang w:val="en-US"/>
        </w:rPr>
        <w:t>, 2011</w:t>
      </w:r>
      <w:r>
        <w:rPr>
          <w:rFonts w:ascii="Verdana" w:hAnsi="Verdana" w:cs="Times New Roman"/>
          <w:sz w:val="20"/>
          <w:szCs w:val="20"/>
          <w:lang w:val="en-US"/>
        </w:rPr>
        <w:t>.</w:t>
      </w: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GRISEL, F., VINUALES, J. “L´Amicus Curiae dans l´arbitrage d´ investissement”, </w:t>
      </w:r>
      <w:r w:rsidRPr="000076BC">
        <w:rPr>
          <w:rFonts w:ascii="Verdana" w:hAnsi="Verdana" w:cs="Times New Roman"/>
          <w:i/>
          <w:sz w:val="20"/>
          <w:szCs w:val="20"/>
          <w:lang w:val="en-US"/>
        </w:rPr>
        <w:t>ICSID Rev.</w:t>
      </w:r>
      <w:r w:rsidRPr="000076BC">
        <w:rPr>
          <w:rFonts w:ascii="Verdana" w:hAnsi="Verdana" w:cs="Times New Roman"/>
          <w:sz w:val="20"/>
          <w:szCs w:val="20"/>
          <w:lang w:val="en-US"/>
        </w:rPr>
        <w:t>, Vol. 23, 2007</w:t>
      </w:r>
      <w:r>
        <w:rPr>
          <w:rFonts w:ascii="Verdana" w:hAnsi="Verdana" w:cs="Times New Roman"/>
          <w:sz w:val="20"/>
          <w:szCs w:val="20"/>
          <w:lang w:val="en-US"/>
        </w:rPr>
        <w:t>.</w:t>
      </w:r>
    </w:p>
    <w:p w:rsidR="00923EEF" w:rsidRDefault="00923EEF" w:rsidP="00F95B20">
      <w:pPr>
        <w:tabs>
          <w:tab w:val="left" w:pos="-284"/>
          <w:tab w:val="left" w:pos="284"/>
        </w:tabs>
        <w:spacing w:line="240" w:lineRule="auto"/>
        <w:ind w:left="284" w:hanging="284"/>
        <w:rPr>
          <w:rFonts w:ascii="Verdana" w:hAnsi="Verdana" w:cs="Times New Roman"/>
          <w:sz w:val="20"/>
          <w:szCs w:val="20"/>
          <w:lang w:val="en-US"/>
        </w:rPr>
      </w:pPr>
    </w:p>
    <w:p w:rsidR="00923EEF" w:rsidRDefault="00923EEF" w:rsidP="00F95B20">
      <w:pPr>
        <w:tabs>
          <w:tab w:val="left" w:pos="-284"/>
          <w:tab w:val="left" w:pos="284"/>
        </w:tabs>
        <w:spacing w:line="240" w:lineRule="auto"/>
        <w:ind w:left="284" w:hanging="284"/>
        <w:rPr>
          <w:rFonts w:ascii="Verdana" w:hAnsi="Verdana" w:cs="Times New Roman"/>
          <w:sz w:val="20"/>
          <w:szCs w:val="20"/>
          <w:lang w:val="en-US"/>
        </w:rPr>
      </w:pPr>
      <w:r w:rsidRPr="00923EEF">
        <w:rPr>
          <w:rFonts w:ascii="Verdana" w:hAnsi="Verdana" w:cs="Times New Roman"/>
          <w:sz w:val="20"/>
          <w:szCs w:val="20"/>
          <w:lang w:val="en-US"/>
        </w:rPr>
        <w:t xml:space="preserve">GUAIA, C.I. “Facultades implícitas del tribunal arbitral en cuestiones éticas”, </w:t>
      </w:r>
      <w:r w:rsidRPr="00923EEF">
        <w:rPr>
          <w:rFonts w:ascii="Verdana" w:hAnsi="Verdana" w:cs="Times New Roman"/>
          <w:i/>
          <w:sz w:val="20"/>
          <w:szCs w:val="20"/>
          <w:lang w:val="en-US"/>
        </w:rPr>
        <w:t>Arbitrajes PUCP</w:t>
      </w:r>
      <w:r w:rsidRPr="00923EEF">
        <w:rPr>
          <w:rFonts w:ascii="Verdana" w:hAnsi="Verdana" w:cs="Times New Roman"/>
          <w:sz w:val="20"/>
          <w:szCs w:val="20"/>
          <w:lang w:val="en-US"/>
        </w:rPr>
        <w:t>, No. 6, 2016</w:t>
      </w:r>
      <w:r>
        <w:rPr>
          <w:rFonts w:ascii="Verdana" w:hAnsi="Verdana" w:cs="Times New Roman"/>
          <w:sz w:val="20"/>
          <w:szCs w:val="20"/>
          <w:lang w:val="en-US"/>
        </w:rPr>
        <w:t>.</w:t>
      </w: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r w:rsidRPr="00A51153">
        <w:rPr>
          <w:rFonts w:ascii="Verdana" w:hAnsi="Verdana" w:cs="Times New Roman"/>
          <w:sz w:val="20"/>
          <w:szCs w:val="20"/>
          <w:lang w:val="en-US"/>
        </w:rPr>
        <w:t xml:space="preserve">ISHIKAWA T. “Third Party Participation in Investment Treaty Arbitration”, </w:t>
      </w:r>
      <w:r w:rsidRPr="00A51153">
        <w:rPr>
          <w:rFonts w:ascii="Verdana" w:hAnsi="Verdana" w:cs="Times New Roman"/>
          <w:i/>
          <w:sz w:val="20"/>
          <w:szCs w:val="20"/>
          <w:lang w:val="en-US"/>
        </w:rPr>
        <w:t>International and Comparative Law Quarterly</w:t>
      </w:r>
      <w:r w:rsidRPr="00A51153">
        <w:rPr>
          <w:rFonts w:ascii="Verdana" w:hAnsi="Verdana" w:cs="Times New Roman"/>
          <w:sz w:val="20"/>
          <w:szCs w:val="20"/>
          <w:lang w:val="en-US"/>
        </w:rPr>
        <w:t>, Vol. 59, No. 2, 2010</w:t>
      </w:r>
      <w:r>
        <w:rPr>
          <w:rFonts w:ascii="Verdana" w:hAnsi="Verdana" w:cs="Times New Roman"/>
          <w:sz w:val="20"/>
          <w:szCs w:val="20"/>
          <w:lang w:val="en-US"/>
        </w:rPr>
        <w:t>.</w:t>
      </w:r>
    </w:p>
    <w:p w:rsidR="00CE6081" w:rsidRDefault="00CE6081" w:rsidP="00F95B20">
      <w:pPr>
        <w:tabs>
          <w:tab w:val="left" w:pos="-284"/>
          <w:tab w:val="left" w:pos="284"/>
        </w:tabs>
        <w:spacing w:line="240" w:lineRule="auto"/>
        <w:ind w:left="284" w:hanging="284"/>
        <w:rPr>
          <w:rFonts w:ascii="Verdana" w:hAnsi="Verdana" w:cs="Times New Roman"/>
          <w:sz w:val="20"/>
          <w:szCs w:val="20"/>
          <w:lang w:val="en-US"/>
        </w:rPr>
      </w:pPr>
    </w:p>
    <w:p w:rsidR="00CE6081" w:rsidRDefault="00CE6081" w:rsidP="00F95B20">
      <w:pPr>
        <w:tabs>
          <w:tab w:val="left" w:pos="-284"/>
          <w:tab w:val="left" w:pos="284"/>
        </w:tabs>
        <w:spacing w:line="240" w:lineRule="auto"/>
        <w:ind w:left="284" w:hanging="284"/>
        <w:rPr>
          <w:rFonts w:ascii="Verdana" w:hAnsi="Verdana" w:cs="Times New Roman"/>
          <w:sz w:val="20"/>
          <w:szCs w:val="20"/>
          <w:lang w:val="en-US"/>
        </w:rPr>
      </w:pPr>
      <w:r w:rsidRPr="00CE6081">
        <w:rPr>
          <w:rFonts w:ascii="Verdana" w:hAnsi="Verdana" w:cs="Times New Roman"/>
          <w:sz w:val="20"/>
          <w:szCs w:val="20"/>
          <w:lang w:val="en-US"/>
        </w:rPr>
        <w:t xml:space="preserve">JOHNSON, L., BERNASCONI-OSTERWALDER, N. New UNCITRAL Arbitration Rules on Transparency: Application, Content and Next Steps, </w:t>
      </w:r>
      <w:r w:rsidRPr="00CE6081">
        <w:rPr>
          <w:rFonts w:ascii="Verdana" w:hAnsi="Verdana" w:cs="Times New Roman"/>
          <w:i/>
          <w:sz w:val="20"/>
          <w:szCs w:val="20"/>
          <w:lang w:val="en-US"/>
        </w:rPr>
        <w:t>Columbia University</w:t>
      </w:r>
      <w:r w:rsidRPr="00CE6081">
        <w:rPr>
          <w:rFonts w:ascii="Verdana" w:hAnsi="Verdana" w:cs="Times New Roman"/>
          <w:sz w:val="20"/>
          <w:szCs w:val="20"/>
          <w:lang w:val="en-US"/>
        </w:rPr>
        <w:t>, 2013</w:t>
      </w:r>
      <w:r>
        <w:rPr>
          <w:rFonts w:ascii="Verdana" w:hAnsi="Verdana" w:cs="Times New Roman"/>
          <w:sz w:val="20"/>
          <w:szCs w:val="20"/>
          <w:lang w:val="en-US"/>
        </w:rPr>
        <w:t>.</w:t>
      </w:r>
    </w:p>
    <w:p w:rsidR="00BE282A" w:rsidRDefault="00BE282A" w:rsidP="00F95B20">
      <w:pPr>
        <w:tabs>
          <w:tab w:val="left" w:pos="-284"/>
          <w:tab w:val="left" w:pos="284"/>
        </w:tabs>
        <w:spacing w:line="240" w:lineRule="auto"/>
        <w:ind w:left="284" w:hanging="284"/>
        <w:rPr>
          <w:rFonts w:ascii="Verdana" w:hAnsi="Verdana" w:cs="Times New Roman"/>
          <w:sz w:val="20"/>
          <w:szCs w:val="20"/>
          <w:lang w:val="en-US"/>
        </w:rPr>
      </w:pPr>
    </w:p>
    <w:p w:rsidR="00D05F82" w:rsidRDefault="00BE282A" w:rsidP="00F95B20">
      <w:pPr>
        <w:tabs>
          <w:tab w:val="left" w:pos="-284"/>
          <w:tab w:val="left" w:pos="284"/>
        </w:tabs>
        <w:spacing w:line="240" w:lineRule="auto"/>
        <w:ind w:left="284" w:hanging="284"/>
        <w:rPr>
          <w:rFonts w:ascii="Verdana" w:hAnsi="Verdana" w:cs="Times New Roman"/>
          <w:sz w:val="20"/>
          <w:szCs w:val="20"/>
          <w:lang w:val="en-US"/>
        </w:rPr>
      </w:pPr>
      <w:r w:rsidRPr="00BE282A">
        <w:rPr>
          <w:rFonts w:ascii="Verdana" w:hAnsi="Verdana" w:cs="Times New Roman"/>
          <w:sz w:val="20"/>
          <w:szCs w:val="20"/>
          <w:lang w:val="en-US"/>
        </w:rPr>
        <w:t xml:space="preserve">KAUFMANN-KOHLER, G. </w:t>
      </w:r>
      <w:r w:rsidR="00961DD8">
        <w:rPr>
          <w:rFonts w:ascii="Verdana" w:hAnsi="Verdana" w:cs="Times New Roman"/>
          <w:sz w:val="20"/>
          <w:szCs w:val="20"/>
          <w:lang w:val="en-US"/>
        </w:rPr>
        <w:t>“</w:t>
      </w:r>
      <w:r w:rsidRPr="00BE282A">
        <w:rPr>
          <w:rFonts w:ascii="Verdana" w:hAnsi="Verdana" w:cs="Times New Roman"/>
          <w:sz w:val="20"/>
          <w:szCs w:val="20"/>
          <w:lang w:val="en-US"/>
        </w:rPr>
        <w:t>Interpretive Powers of the Free Trade Commission and the Rule of Law</w:t>
      </w:r>
      <w:r w:rsidR="00961DD8">
        <w:rPr>
          <w:rFonts w:ascii="Verdana" w:hAnsi="Verdana" w:cs="Times New Roman"/>
          <w:sz w:val="20"/>
          <w:szCs w:val="20"/>
          <w:lang w:val="en-US"/>
        </w:rPr>
        <w:t>”</w:t>
      </w:r>
      <w:r w:rsidRPr="00BE282A">
        <w:rPr>
          <w:rFonts w:ascii="Verdana" w:hAnsi="Verdana" w:cs="Times New Roman"/>
          <w:sz w:val="20"/>
          <w:szCs w:val="20"/>
          <w:lang w:val="en-US"/>
        </w:rPr>
        <w:t xml:space="preserve">, 2011, disponible en: </w:t>
      </w:r>
      <w:hyperlink r:id="rId10" w:history="1">
        <w:r w:rsidRPr="00160481">
          <w:rPr>
            <w:rStyle w:val="Hipervnculo"/>
            <w:rFonts w:ascii="Verdana" w:hAnsi="Verdana" w:cs="Times New Roman"/>
            <w:sz w:val="20"/>
            <w:szCs w:val="20"/>
            <w:lang w:val="en-US"/>
          </w:rPr>
          <w:t>http://www.arbitrationicca.org/media/1/13571335953400/interpretive_powers_of_the_free_trade_commission_and_the_rule_of_law_kaufmann-kohler.pdf</w:t>
        </w:r>
      </w:hyperlink>
      <w:r w:rsidR="00D05F82">
        <w:rPr>
          <w:rFonts w:ascii="Verdana" w:hAnsi="Verdana" w:cs="Times New Roman"/>
          <w:sz w:val="20"/>
          <w:szCs w:val="20"/>
          <w:lang w:val="en-US"/>
        </w:rPr>
        <w:t>.</w:t>
      </w:r>
    </w:p>
    <w:p w:rsidR="00D05F82" w:rsidRDefault="00D05F82" w:rsidP="00F95B20">
      <w:pPr>
        <w:tabs>
          <w:tab w:val="left" w:pos="-284"/>
          <w:tab w:val="left" w:pos="284"/>
        </w:tabs>
        <w:spacing w:line="240" w:lineRule="auto"/>
        <w:ind w:left="284" w:hanging="284"/>
        <w:rPr>
          <w:rFonts w:ascii="Verdana" w:hAnsi="Verdana" w:cs="Times New Roman"/>
          <w:sz w:val="20"/>
          <w:szCs w:val="20"/>
          <w:lang w:val="en-US"/>
        </w:rPr>
      </w:pPr>
    </w:p>
    <w:p w:rsidR="00BE282A" w:rsidRDefault="00D05F82" w:rsidP="00F95B20">
      <w:pPr>
        <w:tabs>
          <w:tab w:val="left" w:pos="-284"/>
          <w:tab w:val="left" w:pos="284"/>
        </w:tabs>
        <w:spacing w:line="240" w:lineRule="auto"/>
        <w:ind w:left="284" w:hanging="284"/>
        <w:rPr>
          <w:rFonts w:ascii="Verdana" w:hAnsi="Verdana" w:cs="Times New Roman"/>
          <w:sz w:val="20"/>
          <w:szCs w:val="20"/>
          <w:lang w:val="en-US"/>
        </w:rPr>
      </w:pPr>
      <w:r w:rsidRPr="00D05F82">
        <w:rPr>
          <w:rFonts w:ascii="Verdana" w:hAnsi="Verdana" w:cs="Times New Roman"/>
          <w:sz w:val="20"/>
          <w:szCs w:val="20"/>
          <w:lang w:val="en-US"/>
        </w:rPr>
        <w:t xml:space="preserve">KINNEAR, M.N. “Artículo 1128 - Participación de una Parte en las disputas de inversión en virtud del TLCAN”, en Guía comentada del TLCAN Capítulo 11, Suplemento No. 1, </w:t>
      </w:r>
      <w:r w:rsidRPr="00D05F82">
        <w:rPr>
          <w:rFonts w:ascii="Verdana" w:hAnsi="Verdana" w:cs="Times New Roman"/>
          <w:i/>
          <w:sz w:val="20"/>
          <w:szCs w:val="20"/>
          <w:lang w:val="en-US"/>
        </w:rPr>
        <w:t>Kluwer Law International</w:t>
      </w:r>
      <w:r w:rsidRPr="00D05F82">
        <w:rPr>
          <w:rFonts w:ascii="Verdana" w:hAnsi="Verdana" w:cs="Times New Roman"/>
          <w:sz w:val="20"/>
          <w:szCs w:val="20"/>
          <w:lang w:val="en-US"/>
        </w:rPr>
        <w:t>, 2006</w:t>
      </w:r>
      <w:r>
        <w:rPr>
          <w:rFonts w:ascii="Verdana" w:hAnsi="Verdana" w:cs="Times New Roman"/>
          <w:sz w:val="20"/>
          <w:szCs w:val="20"/>
          <w:lang w:val="en-US"/>
        </w:rPr>
        <w:t>.</w:t>
      </w:r>
      <w:r w:rsidR="00BE282A">
        <w:rPr>
          <w:rFonts w:ascii="Verdana" w:hAnsi="Verdana" w:cs="Times New Roman"/>
          <w:sz w:val="20"/>
          <w:szCs w:val="20"/>
          <w:lang w:val="en-US"/>
        </w:rPr>
        <w:t xml:space="preserve"> </w:t>
      </w:r>
    </w:p>
    <w:p w:rsidR="009932FB" w:rsidRDefault="009932FB" w:rsidP="00F95B20">
      <w:pPr>
        <w:tabs>
          <w:tab w:val="left" w:pos="-284"/>
          <w:tab w:val="left" w:pos="284"/>
        </w:tabs>
        <w:spacing w:line="240" w:lineRule="auto"/>
        <w:ind w:left="284" w:hanging="284"/>
        <w:rPr>
          <w:rFonts w:ascii="Verdana" w:hAnsi="Verdana" w:cs="Times New Roman"/>
          <w:sz w:val="20"/>
          <w:szCs w:val="20"/>
          <w:lang w:val="en-US"/>
        </w:rPr>
      </w:pP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PAPARINSKIS, M. </w:t>
      </w:r>
      <w:r w:rsidRPr="000076BC">
        <w:rPr>
          <w:rFonts w:ascii="Verdana" w:hAnsi="Verdana" w:cs="Times New Roman"/>
          <w:i/>
          <w:sz w:val="20"/>
          <w:szCs w:val="20"/>
          <w:lang w:val="en-US"/>
        </w:rPr>
        <w:t>The International Minimum Standard and Fair and Equitable Treatment</w:t>
      </w:r>
      <w:r w:rsidRPr="000076BC">
        <w:rPr>
          <w:rFonts w:ascii="Verdana" w:hAnsi="Verdana" w:cs="Times New Roman"/>
          <w:sz w:val="20"/>
          <w:szCs w:val="20"/>
          <w:lang w:val="en-US"/>
        </w:rPr>
        <w:t>, Oxford University Press, Oxford, 2013</w:t>
      </w:r>
      <w:r>
        <w:rPr>
          <w:rFonts w:ascii="Verdana" w:hAnsi="Verdana" w:cs="Times New Roman"/>
          <w:sz w:val="20"/>
          <w:szCs w:val="20"/>
          <w:lang w:val="en-US"/>
        </w:rPr>
        <w:t>.</w:t>
      </w: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r w:rsidRPr="00707381">
        <w:rPr>
          <w:rFonts w:ascii="Verdana" w:hAnsi="Verdana" w:cs="Times New Roman"/>
          <w:sz w:val="20"/>
          <w:szCs w:val="20"/>
          <w:lang w:val="en-US"/>
        </w:rPr>
        <w:t xml:space="preserve">SCHLEE, P. “Transparência em arbitragens internacionais investidor-Estado”, </w:t>
      </w:r>
      <w:r w:rsidRPr="00707381">
        <w:rPr>
          <w:rFonts w:ascii="Verdana" w:hAnsi="Verdana" w:cs="Times New Roman"/>
          <w:i/>
          <w:sz w:val="20"/>
          <w:szCs w:val="20"/>
          <w:lang w:val="en-US"/>
        </w:rPr>
        <w:t>Revista de la Secretaría del Tribunal Permanente de Revisión</w:t>
      </w:r>
      <w:r>
        <w:rPr>
          <w:rFonts w:ascii="Verdana" w:hAnsi="Verdana" w:cs="Times New Roman"/>
          <w:sz w:val="20"/>
          <w:szCs w:val="20"/>
          <w:lang w:val="en-US"/>
        </w:rPr>
        <w:t>,</w:t>
      </w:r>
      <w:r w:rsidRPr="00707381">
        <w:rPr>
          <w:rFonts w:ascii="Verdana" w:hAnsi="Verdana" w:cs="Times New Roman"/>
          <w:sz w:val="20"/>
          <w:szCs w:val="20"/>
          <w:lang w:val="en-US"/>
        </w:rPr>
        <w:t xml:space="preserve"> Año 3, No. 5, 2015</w:t>
      </w:r>
      <w:r>
        <w:rPr>
          <w:rFonts w:ascii="Verdana" w:hAnsi="Verdana" w:cs="Times New Roman"/>
          <w:sz w:val="20"/>
          <w:szCs w:val="20"/>
          <w:lang w:val="en-US"/>
        </w:rPr>
        <w:t>.</w:t>
      </w: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r w:rsidRPr="00707381">
        <w:rPr>
          <w:rFonts w:ascii="Verdana" w:hAnsi="Verdana" w:cs="Times New Roman"/>
          <w:sz w:val="20"/>
          <w:szCs w:val="20"/>
          <w:lang w:val="en-US"/>
        </w:rPr>
        <w:t xml:space="preserve">SILVA ROMERO, E., FELIPE MERIZALDE, J. ¿Cumple su finalidad el nuevo Reglamento de Transparencia de la CNUDMI?, </w:t>
      </w:r>
      <w:r w:rsidRPr="00707381">
        <w:rPr>
          <w:rFonts w:ascii="Verdana" w:hAnsi="Verdana" w:cs="Times New Roman"/>
          <w:i/>
          <w:sz w:val="20"/>
          <w:szCs w:val="20"/>
          <w:lang w:val="en-US"/>
        </w:rPr>
        <w:t>Arbitraje PUCP</w:t>
      </w:r>
      <w:r w:rsidRPr="00707381">
        <w:rPr>
          <w:rFonts w:ascii="Verdana" w:hAnsi="Verdana" w:cs="Times New Roman"/>
          <w:sz w:val="20"/>
          <w:szCs w:val="20"/>
          <w:lang w:val="en-US"/>
        </w:rPr>
        <w:t>, 2014</w:t>
      </w:r>
      <w:r>
        <w:rPr>
          <w:rFonts w:ascii="Verdana" w:hAnsi="Verdana" w:cs="Times New Roman"/>
          <w:sz w:val="20"/>
          <w:szCs w:val="20"/>
          <w:lang w:val="en-US"/>
        </w:rPr>
        <w:t>.</w:t>
      </w:r>
    </w:p>
    <w:p w:rsidR="00707381" w:rsidRDefault="00707381" w:rsidP="00F95B20">
      <w:pPr>
        <w:tabs>
          <w:tab w:val="left" w:pos="-284"/>
          <w:tab w:val="left" w:pos="284"/>
        </w:tabs>
        <w:spacing w:line="240" w:lineRule="auto"/>
        <w:ind w:left="284" w:hanging="284"/>
        <w:rPr>
          <w:rFonts w:ascii="Verdana" w:hAnsi="Verdana" w:cs="Times New Roman"/>
          <w:sz w:val="20"/>
          <w:szCs w:val="20"/>
          <w:lang w:val="en-US"/>
        </w:rPr>
      </w:pP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r w:rsidRPr="00A51153">
        <w:rPr>
          <w:rFonts w:ascii="Verdana" w:hAnsi="Verdana" w:cs="Times New Roman"/>
          <w:sz w:val="20"/>
          <w:szCs w:val="20"/>
          <w:lang w:val="en-US"/>
        </w:rPr>
        <w:t xml:space="preserve">TRIANTAFILOU E.E. “Amicus Submissions in Investor-State Arbitration After Suez v. Argentina”, </w:t>
      </w:r>
      <w:r w:rsidRPr="00A51153">
        <w:rPr>
          <w:rFonts w:ascii="Verdana" w:hAnsi="Verdana" w:cs="Times New Roman"/>
          <w:i/>
          <w:sz w:val="20"/>
          <w:szCs w:val="20"/>
          <w:lang w:val="en-US"/>
        </w:rPr>
        <w:t>Arbitration International Law</w:t>
      </w:r>
      <w:r w:rsidRPr="00A51153">
        <w:rPr>
          <w:rFonts w:ascii="Verdana" w:hAnsi="Verdana" w:cs="Times New Roman"/>
          <w:sz w:val="20"/>
          <w:szCs w:val="20"/>
          <w:lang w:val="en-US"/>
        </w:rPr>
        <w:t>, Vol. 24, 2008</w:t>
      </w:r>
      <w:r>
        <w:rPr>
          <w:rFonts w:ascii="Verdana" w:hAnsi="Verdana" w:cs="Times New Roman"/>
          <w:sz w:val="20"/>
          <w:szCs w:val="20"/>
          <w:lang w:val="en-US"/>
        </w:rPr>
        <w:t>.</w:t>
      </w: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r w:rsidRPr="00A51153">
        <w:rPr>
          <w:rFonts w:ascii="Verdana" w:hAnsi="Verdana" w:cs="Times New Roman"/>
          <w:sz w:val="20"/>
          <w:szCs w:val="20"/>
          <w:lang w:val="en-US"/>
        </w:rPr>
        <w:t xml:space="preserve">VINUALES J. “Amicus Intervention in Investment Arbitration”, </w:t>
      </w:r>
      <w:r w:rsidRPr="00A51153">
        <w:rPr>
          <w:rFonts w:ascii="Verdana" w:hAnsi="Verdana" w:cs="Times New Roman"/>
          <w:i/>
          <w:sz w:val="20"/>
          <w:szCs w:val="20"/>
          <w:lang w:val="en-US"/>
        </w:rPr>
        <w:t>Dispute Resolution Journal</w:t>
      </w:r>
      <w:r w:rsidRPr="00A51153">
        <w:rPr>
          <w:rFonts w:ascii="Verdana" w:hAnsi="Verdana" w:cs="Times New Roman"/>
          <w:sz w:val="20"/>
          <w:szCs w:val="20"/>
          <w:lang w:val="en-US"/>
        </w:rPr>
        <w:t>, Vol 61, No. 4, 2007</w:t>
      </w:r>
      <w:r>
        <w:rPr>
          <w:rFonts w:ascii="Verdana" w:hAnsi="Verdana" w:cs="Times New Roman"/>
          <w:sz w:val="20"/>
          <w:szCs w:val="20"/>
          <w:lang w:val="en-US"/>
        </w:rPr>
        <w:t>.</w:t>
      </w:r>
    </w:p>
    <w:p w:rsidR="00A51153" w:rsidRDefault="00A51153" w:rsidP="00F95B20">
      <w:pPr>
        <w:tabs>
          <w:tab w:val="left" w:pos="-284"/>
          <w:tab w:val="left" w:pos="284"/>
        </w:tabs>
        <w:spacing w:line="240" w:lineRule="auto"/>
        <w:ind w:left="284" w:hanging="284"/>
        <w:rPr>
          <w:rFonts w:ascii="Verdana" w:hAnsi="Verdana" w:cs="Times New Roman"/>
          <w:sz w:val="20"/>
          <w:szCs w:val="20"/>
          <w:lang w:val="en-US"/>
        </w:rPr>
      </w:pP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r w:rsidRPr="000076BC">
        <w:rPr>
          <w:rFonts w:ascii="Verdana" w:hAnsi="Verdana" w:cs="Times New Roman"/>
          <w:sz w:val="20"/>
          <w:szCs w:val="20"/>
          <w:lang w:val="en-US"/>
        </w:rPr>
        <w:t xml:space="preserve">YANNACA-SMALL, K. “Fair and Equitable Treatment Standard: Recent Developments”, in REINISCH, A. (Ed). </w:t>
      </w:r>
      <w:r w:rsidRPr="000076BC">
        <w:rPr>
          <w:rFonts w:ascii="Verdana" w:hAnsi="Verdana" w:cs="Times New Roman"/>
          <w:i/>
          <w:sz w:val="20"/>
          <w:szCs w:val="20"/>
          <w:lang w:val="en-US"/>
        </w:rPr>
        <w:t>Standards of Investment Protection</w:t>
      </w:r>
      <w:r w:rsidRPr="000076BC">
        <w:rPr>
          <w:rFonts w:ascii="Verdana" w:hAnsi="Verdana" w:cs="Times New Roman"/>
          <w:sz w:val="20"/>
          <w:szCs w:val="20"/>
          <w:lang w:val="en-US"/>
        </w:rPr>
        <w:t>. Oxford: Oxford University Press, 2008</w:t>
      </w:r>
      <w:r>
        <w:rPr>
          <w:rFonts w:ascii="Verdana" w:hAnsi="Verdana" w:cs="Times New Roman"/>
          <w:sz w:val="20"/>
          <w:szCs w:val="20"/>
          <w:lang w:val="en-US"/>
        </w:rPr>
        <w:t>.</w:t>
      </w:r>
    </w:p>
    <w:p w:rsidR="000076BC" w:rsidRDefault="000076BC" w:rsidP="00F95B20">
      <w:pPr>
        <w:tabs>
          <w:tab w:val="left" w:pos="-284"/>
          <w:tab w:val="left" w:pos="284"/>
        </w:tabs>
        <w:spacing w:line="240" w:lineRule="auto"/>
        <w:ind w:left="284" w:hanging="284"/>
        <w:rPr>
          <w:rFonts w:ascii="Verdana" w:hAnsi="Verdana" w:cs="Times New Roman"/>
          <w:sz w:val="20"/>
          <w:szCs w:val="20"/>
          <w:lang w:val="en-US"/>
        </w:rPr>
      </w:pPr>
    </w:p>
    <w:p w:rsidR="00CE1A7D" w:rsidRDefault="00CE1A7D" w:rsidP="00F95B20">
      <w:pPr>
        <w:tabs>
          <w:tab w:val="left" w:pos="-284"/>
          <w:tab w:val="left" w:pos="284"/>
        </w:tabs>
        <w:spacing w:line="240" w:lineRule="auto"/>
        <w:ind w:left="284" w:hanging="284"/>
        <w:rPr>
          <w:rFonts w:ascii="Verdana" w:hAnsi="Verdana" w:cs="Times New Roman"/>
          <w:sz w:val="20"/>
          <w:szCs w:val="20"/>
          <w:lang w:val="en-US"/>
        </w:rPr>
      </w:pPr>
      <w:r w:rsidRPr="00CE1A7D">
        <w:rPr>
          <w:rFonts w:ascii="Verdana" w:hAnsi="Verdana" w:cs="Times New Roman"/>
          <w:sz w:val="20"/>
          <w:szCs w:val="20"/>
          <w:lang w:val="en-US"/>
        </w:rPr>
        <w:t xml:space="preserve">YANNACA-SMALL, K. “Essential Security Interests under International Investment Law”, </w:t>
      </w:r>
      <w:r w:rsidRPr="00CE1A7D">
        <w:rPr>
          <w:rFonts w:ascii="Verdana" w:hAnsi="Verdana" w:cs="Times New Roman"/>
          <w:i/>
          <w:sz w:val="20"/>
          <w:szCs w:val="20"/>
          <w:lang w:val="en-US"/>
        </w:rPr>
        <w:t>OECD International Investment Perspectives: Freedom of Investment in a Changing World</w:t>
      </w:r>
      <w:r w:rsidRPr="00CE1A7D">
        <w:rPr>
          <w:rFonts w:ascii="Verdana" w:hAnsi="Verdana" w:cs="Times New Roman"/>
          <w:sz w:val="20"/>
          <w:szCs w:val="20"/>
          <w:lang w:val="en-US"/>
        </w:rPr>
        <w:t>, Paris, 2007</w:t>
      </w:r>
      <w:r>
        <w:rPr>
          <w:rFonts w:ascii="Verdana" w:hAnsi="Verdana" w:cs="Times New Roman"/>
          <w:sz w:val="20"/>
          <w:szCs w:val="20"/>
          <w:lang w:val="en-US"/>
        </w:rPr>
        <w:t>.</w:t>
      </w:r>
    </w:p>
    <w:p w:rsidR="000076BC" w:rsidRDefault="000076BC" w:rsidP="003E4137">
      <w:pPr>
        <w:tabs>
          <w:tab w:val="left" w:pos="-284"/>
          <w:tab w:val="left" w:pos="284"/>
        </w:tabs>
        <w:spacing w:line="240" w:lineRule="auto"/>
        <w:ind w:firstLine="0"/>
        <w:rPr>
          <w:rFonts w:ascii="Verdana" w:hAnsi="Verdana" w:cs="Times New Roman"/>
          <w:sz w:val="20"/>
          <w:szCs w:val="20"/>
          <w:lang w:val="en-US"/>
        </w:rPr>
      </w:pPr>
    </w:p>
    <w:p w:rsidR="009B1442" w:rsidRDefault="009B1442" w:rsidP="003E4137">
      <w:pPr>
        <w:tabs>
          <w:tab w:val="left" w:pos="-284"/>
          <w:tab w:val="left" w:pos="284"/>
        </w:tabs>
        <w:spacing w:line="240" w:lineRule="auto"/>
        <w:ind w:firstLine="0"/>
        <w:rPr>
          <w:rFonts w:ascii="Verdana" w:hAnsi="Verdana" w:cs="Times New Roman"/>
          <w:b/>
          <w:sz w:val="20"/>
          <w:szCs w:val="20"/>
          <w:lang w:val="en-US"/>
        </w:rPr>
      </w:pPr>
      <w:r w:rsidRPr="009B1442">
        <w:rPr>
          <w:rFonts w:ascii="Verdana" w:hAnsi="Verdana" w:cs="Times New Roman"/>
          <w:b/>
          <w:sz w:val="20"/>
          <w:szCs w:val="20"/>
          <w:lang w:val="en-US"/>
        </w:rPr>
        <w:t>Casos consultados</w:t>
      </w:r>
      <w:r w:rsidR="00771C09">
        <w:rPr>
          <w:rFonts w:ascii="Verdana" w:hAnsi="Verdana" w:cs="Times New Roman"/>
          <w:b/>
          <w:sz w:val="20"/>
          <w:szCs w:val="20"/>
          <w:lang w:val="en-US"/>
        </w:rPr>
        <w:t>.</w:t>
      </w:r>
    </w:p>
    <w:p w:rsidR="009B1442" w:rsidRDefault="009B1442" w:rsidP="003E4137">
      <w:pPr>
        <w:tabs>
          <w:tab w:val="left" w:pos="-284"/>
          <w:tab w:val="left" w:pos="284"/>
        </w:tabs>
        <w:spacing w:line="240" w:lineRule="auto"/>
        <w:ind w:firstLine="0"/>
        <w:rPr>
          <w:rFonts w:ascii="Verdana" w:hAnsi="Verdana" w:cs="Times New Roman"/>
          <w:sz w:val="20"/>
          <w:szCs w:val="20"/>
          <w:lang w:val="en-US"/>
        </w:rPr>
      </w:pPr>
    </w:p>
    <w:p w:rsidR="009B1442" w:rsidRDefault="009B1442" w:rsidP="00F95B20">
      <w:pPr>
        <w:tabs>
          <w:tab w:val="left" w:pos="-284"/>
          <w:tab w:val="left" w:pos="284"/>
        </w:tabs>
        <w:spacing w:line="240" w:lineRule="auto"/>
        <w:ind w:left="284" w:hanging="284"/>
        <w:rPr>
          <w:rFonts w:ascii="Verdana" w:hAnsi="Verdana" w:cs="Times New Roman"/>
          <w:sz w:val="20"/>
          <w:szCs w:val="20"/>
          <w:lang w:val="en-US"/>
        </w:rPr>
      </w:pPr>
      <w:r w:rsidRPr="009B1442">
        <w:rPr>
          <w:rFonts w:ascii="Verdana" w:hAnsi="Verdana" w:cs="Times New Roman"/>
          <w:i/>
          <w:sz w:val="20"/>
          <w:szCs w:val="20"/>
          <w:lang w:val="en-US"/>
        </w:rPr>
        <w:t xml:space="preserve">Biwater Gauff Ltd. vs. United Republic of Tanzania, </w:t>
      </w:r>
      <w:r w:rsidRPr="009B1442">
        <w:rPr>
          <w:rFonts w:ascii="Verdana" w:hAnsi="Verdana" w:cs="Times New Roman"/>
          <w:sz w:val="20"/>
          <w:szCs w:val="20"/>
          <w:lang w:val="en-US"/>
        </w:rPr>
        <w:t>ICSID Case No. ARB/05/22, Procedural Order No. 5</w:t>
      </w:r>
      <w:r>
        <w:rPr>
          <w:rFonts w:ascii="Verdana" w:hAnsi="Verdana" w:cs="Times New Roman"/>
          <w:sz w:val="20"/>
          <w:szCs w:val="20"/>
          <w:lang w:val="en-US"/>
        </w:rPr>
        <w:t>, 2007.</w:t>
      </w:r>
    </w:p>
    <w:p w:rsidR="00FA0884" w:rsidRDefault="00FA0884" w:rsidP="00F95B20">
      <w:pPr>
        <w:tabs>
          <w:tab w:val="left" w:pos="-284"/>
          <w:tab w:val="left" w:pos="284"/>
        </w:tabs>
        <w:spacing w:line="240" w:lineRule="auto"/>
        <w:ind w:left="284" w:hanging="284"/>
        <w:rPr>
          <w:rFonts w:ascii="Verdana" w:hAnsi="Verdana" w:cs="Times New Roman"/>
          <w:sz w:val="20"/>
          <w:szCs w:val="20"/>
          <w:lang w:val="en-US"/>
        </w:rPr>
      </w:pPr>
    </w:p>
    <w:p w:rsidR="00FA0884" w:rsidRDefault="00FA0884" w:rsidP="00F95B20">
      <w:pPr>
        <w:tabs>
          <w:tab w:val="left" w:pos="-284"/>
          <w:tab w:val="left" w:pos="284"/>
        </w:tabs>
        <w:spacing w:line="240" w:lineRule="auto"/>
        <w:ind w:left="284" w:hanging="284"/>
        <w:rPr>
          <w:rFonts w:ascii="Verdana" w:hAnsi="Verdana" w:cs="Times New Roman"/>
          <w:sz w:val="20"/>
          <w:szCs w:val="20"/>
          <w:lang w:val="en-US"/>
        </w:rPr>
      </w:pPr>
      <w:r w:rsidRPr="00FA0884">
        <w:rPr>
          <w:rFonts w:ascii="Verdana" w:hAnsi="Verdana" w:cs="Times New Roman"/>
          <w:i/>
          <w:sz w:val="20"/>
          <w:szCs w:val="20"/>
          <w:lang w:val="en-US"/>
        </w:rPr>
        <w:t>BSG Resources Limited, BSG Resources (Guinea) Limited and BSG Resources (Guinea) SÀRL vs. Republic of Guinea</w:t>
      </w:r>
      <w:r w:rsidRPr="00FA0884">
        <w:rPr>
          <w:rFonts w:ascii="Verdana" w:hAnsi="Verdana" w:cs="Times New Roman"/>
          <w:sz w:val="20"/>
          <w:szCs w:val="20"/>
          <w:lang w:val="en-US"/>
        </w:rPr>
        <w:t>, ICSID Case No. ARB/14/22, 2014</w:t>
      </w:r>
      <w:r>
        <w:rPr>
          <w:rFonts w:ascii="Verdana" w:hAnsi="Verdana" w:cs="Times New Roman"/>
          <w:sz w:val="20"/>
          <w:szCs w:val="20"/>
          <w:lang w:val="en-US"/>
        </w:rPr>
        <w:t>.</w:t>
      </w: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r w:rsidRPr="00151CBE">
        <w:rPr>
          <w:rFonts w:ascii="Verdana" w:hAnsi="Verdana" w:cs="Times New Roman"/>
          <w:i/>
          <w:sz w:val="20"/>
          <w:szCs w:val="20"/>
          <w:lang w:val="en-US"/>
        </w:rPr>
        <w:t>Commerce Group Corp. y San Sebastián Gold Mines, Inc. vs. El Salvador</w:t>
      </w:r>
      <w:r w:rsidRPr="00151CBE">
        <w:rPr>
          <w:rFonts w:ascii="Verdana" w:hAnsi="Verdana" w:cs="Times New Roman"/>
          <w:sz w:val="20"/>
          <w:szCs w:val="20"/>
          <w:lang w:val="en-US"/>
        </w:rPr>
        <w:t>, ICSID Case No. ARB/09/17, 2009</w:t>
      </w:r>
      <w:r>
        <w:rPr>
          <w:rFonts w:ascii="Verdana" w:hAnsi="Verdana" w:cs="Times New Roman"/>
          <w:sz w:val="20"/>
          <w:szCs w:val="20"/>
          <w:lang w:val="en-US"/>
        </w:rPr>
        <w:t>.</w:t>
      </w:r>
    </w:p>
    <w:p w:rsidR="00FA0884" w:rsidRDefault="00FA0884" w:rsidP="00F95B20">
      <w:pPr>
        <w:tabs>
          <w:tab w:val="left" w:pos="-284"/>
          <w:tab w:val="left" w:pos="284"/>
        </w:tabs>
        <w:spacing w:line="240" w:lineRule="auto"/>
        <w:ind w:left="284" w:hanging="284"/>
        <w:rPr>
          <w:rFonts w:ascii="Verdana" w:hAnsi="Verdana" w:cs="Times New Roman"/>
          <w:sz w:val="20"/>
          <w:szCs w:val="20"/>
          <w:lang w:val="en-US"/>
        </w:rPr>
      </w:pPr>
    </w:p>
    <w:p w:rsidR="00FA0884" w:rsidRPr="009B1442" w:rsidRDefault="00FA0884" w:rsidP="00F95B20">
      <w:pPr>
        <w:tabs>
          <w:tab w:val="left" w:pos="-284"/>
          <w:tab w:val="left" w:pos="284"/>
        </w:tabs>
        <w:spacing w:line="240" w:lineRule="auto"/>
        <w:ind w:left="284" w:hanging="284"/>
        <w:rPr>
          <w:rFonts w:ascii="Verdana" w:hAnsi="Verdana" w:cs="Times New Roman"/>
          <w:sz w:val="20"/>
          <w:szCs w:val="20"/>
          <w:lang w:val="en-US"/>
        </w:rPr>
      </w:pPr>
      <w:r w:rsidRPr="00FA0884">
        <w:rPr>
          <w:rFonts w:ascii="Verdana" w:hAnsi="Verdana" w:cs="Times New Roman"/>
          <w:i/>
          <w:sz w:val="20"/>
          <w:szCs w:val="20"/>
          <w:lang w:val="en-US"/>
        </w:rPr>
        <w:t>Iberdrola, S.A. (España), Iberdrola Energía, S.A.U. vs. Bolivia</w:t>
      </w:r>
      <w:r w:rsidRPr="00FA0884">
        <w:rPr>
          <w:rFonts w:ascii="Verdana" w:hAnsi="Verdana" w:cs="Times New Roman"/>
          <w:sz w:val="20"/>
          <w:szCs w:val="20"/>
          <w:lang w:val="en-US"/>
        </w:rPr>
        <w:t>, Caso CPA No. 2015-05, administrado por la Corte Permanente de Arbitraje (CPA), 2015</w:t>
      </w:r>
      <w:r>
        <w:rPr>
          <w:rFonts w:ascii="Verdana" w:hAnsi="Verdana" w:cs="Times New Roman"/>
          <w:sz w:val="20"/>
          <w:szCs w:val="20"/>
          <w:lang w:val="en-US"/>
        </w:rPr>
        <w:t>.</w:t>
      </w:r>
    </w:p>
    <w:p w:rsidR="009B1442" w:rsidRPr="009B1442" w:rsidRDefault="009B1442" w:rsidP="00F95B20">
      <w:pPr>
        <w:tabs>
          <w:tab w:val="left" w:pos="-284"/>
          <w:tab w:val="left" w:pos="284"/>
        </w:tabs>
        <w:spacing w:line="240" w:lineRule="auto"/>
        <w:ind w:left="284" w:hanging="284"/>
        <w:rPr>
          <w:rFonts w:ascii="Verdana" w:hAnsi="Verdana" w:cs="Times New Roman"/>
          <w:sz w:val="20"/>
          <w:szCs w:val="20"/>
          <w:lang w:val="en-US"/>
        </w:rPr>
      </w:pPr>
    </w:p>
    <w:p w:rsidR="009B1442" w:rsidRDefault="009B1442" w:rsidP="00F95B20">
      <w:pPr>
        <w:tabs>
          <w:tab w:val="left" w:pos="-284"/>
          <w:tab w:val="left" w:pos="284"/>
        </w:tabs>
        <w:spacing w:line="240" w:lineRule="auto"/>
        <w:ind w:left="284" w:hanging="284"/>
        <w:rPr>
          <w:rFonts w:ascii="Verdana" w:hAnsi="Verdana" w:cs="Times New Roman"/>
          <w:sz w:val="20"/>
          <w:szCs w:val="20"/>
          <w:lang w:val="en-US"/>
        </w:rPr>
      </w:pPr>
      <w:r w:rsidRPr="009B1442">
        <w:rPr>
          <w:rFonts w:ascii="Verdana" w:hAnsi="Verdana" w:cs="Times New Roman"/>
          <w:i/>
          <w:sz w:val="20"/>
          <w:szCs w:val="20"/>
          <w:lang w:val="en-US"/>
        </w:rPr>
        <w:t>Metalclad Corporation vs. Estados Unidos México</w:t>
      </w:r>
      <w:r w:rsidR="00D03373">
        <w:rPr>
          <w:rFonts w:ascii="Verdana" w:hAnsi="Verdana" w:cs="Times New Roman"/>
          <w:sz w:val="20"/>
          <w:szCs w:val="20"/>
          <w:lang w:val="en-US"/>
        </w:rPr>
        <w:t xml:space="preserve">, Caso No. ARB (AF)/97/1, </w:t>
      </w:r>
      <w:r w:rsidRPr="009B1442">
        <w:rPr>
          <w:rFonts w:ascii="Verdana" w:hAnsi="Verdana" w:cs="Times New Roman"/>
          <w:sz w:val="20"/>
          <w:szCs w:val="20"/>
          <w:lang w:val="en-US"/>
        </w:rPr>
        <w:t>Laudo</w:t>
      </w:r>
      <w:r w:rsidR="00D03373">
        <w:rPr>
          <w:rFonts w:ascii="Verdana" w:hAnsi="Verdana" w:cs="Times New Roman"/>
          <w:sz w:val="20"/>
          <w:szCs w:val="20"/>
          <w:lang w:val="en-US"/>
        </w:rPr>
        <w:t>, 2000</w:t>
      </w:r>
      <w:r>
        <w:rPr>
          <w:rFonts w:ascii="Verdana" w:hAnsi="Verdana" w:cs="Times New Roman"/>
          <w:sz w:val="20"/>
          <w:szCs w:val="20"/>
          <w:lang w:val="en-US"/>
        </w:rPr>
        <w:t>.</w:t>
      </w:r>
    </w:p>
    <w:p w:rsidR="003E2AA5" w:rsidRDefault="003E2AA5" w:rsidP="00F95B20">
      <w:pPr>
        <w:tabs>
          <w:tab w:val="left" w:pos="-284"/>
          <w:tab w:val="left" w:pos="284"/>
        </w:tabs>
        <w:spacing w:line="240" w:lineRule="auto"/>
        <w:ind w:left="284" w:hanging="284"/>
        <w:rPr>
          <w:rFonts w:ascii="Verdana" w:hAnsi="Verdana" w:cs="Times New Roman"/>
          <w:sz w:val="20"/>
          <w:szCs w:val="20"/>
          <w:lang w:val="en-US"/>
        </w:rPr>
      </w:pPr>
    </w:p>
    <w:p w:rsidR="003E2AA5" w:rsidRDefault="003E2AA5" w:rsidP="00F95B20">
      <w:pPr>
        <w:tabs>
          <w:tab w:val="left" w:pos="-284"/>
          <w:tab w:val="left" w:pos="284"/>
        </w:tabs>
        <w:spacing w:line="240" w:lineRule="auto"/>
        <w:ind w:left="284" w:hanging="284"/>
        <w:rPr>
          <w:rFonts w:ascii="Verdana" w:hAnsi="Verdana" w:cs="Times New Roman"/>
          <w:sz w:val="20"/>
          <w:szCs w:val="20"/>
          <w:lang w:val="en-US"/>
        </w:rPr>
      </w:pPr>
      <w:r w:rsidRPr="003E2AA5">
        <w:rPr>
          <w:rFonts w:ascii="Verdana" w:hAnsi="Verdana" w:cs="Times New Roman"/>
          <w:i/>
          <w:sz w:val="20"/>
          <w:szCs w:val="20"/>
          <w:lang w:val="en-US"/>
        </w:rPr>
        <w:t>Methanex Corp. vs. Estados Unidos</w:t>
      </w:r>
      <w:r>
        <w:rPr>
          <w:rFonts w:ascii="Verdana" w:hAnsi="Verdana" w:cs="Times New Roman"/>
          <w:sz w:val="20"/>
          <w:szCs w:val="20"/>
          <w:lang w:val="en-US"/>
        </w:rPr>
        <w:t>, 1999.</w:t>
      </w:r>
    </w:p>
    <w:p w:rsidR="003E2AA5" w:rsidRDefault="003E2AA5" w:rsidP="00F95B20">
      <w:pPr>
        <w:tabs>
          <w:tab w:val="left" w:pos="-284"/>
          <w:tab w:val="left" w:pos="284"/>
        </w:tabs>
        <w:spacing w:line="240" w:lineRule="auto"/>
        <w:ind w:left="284" w:hanging="284"/>
        <w:rPr>
          <w:rFonts w:ascii="Verdana" w:hAnsi="Verdana" w:cs="Times New Roman"/>
          <w:sz w:val="20"/>
          <w:szCs w:val="20"/>
          <w:lang w:val="en-US"/>
        </w:rPr>
      </w:pP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r w:rsidRPr="00151CBE">
        <w:rPr>
          <w:rFonts w:ascii="Verdana" w:hAnsi="Verdana" w:cs="Times New Roman"/>
          <w:i/>
          <w:sz w:val="20"/>
          <w:szCs w:val="20"/>
          <w:lang w:val="en-US"/>
        </w:rPr>
        <w:t>Mobil Investments Canadá Inc. and Murphy Oil Corporation vs. Canadá</w:t>
      </w:r>
      <w:r w:rsidRPr="00151CBE">
        <w:rPr>
          <w:rFonts w:ascii="Verdana" w:hAnsi="Verdana" w:cs="Times New Roman"/>
          <w:sz w:val="20"/>
          <w:szCs w:val="20"/>
          <w:lang w:val="en-US"/>
        </w:rPr>
        <w:t>, ICSID Case No. ARB(AF)/07/4, 2007</w:t>
      </w:r>
      <w:r>
        <w:rPr>
          <w:rFonts w:ascii="Verdana" w:hAnsi="Verdana" w:cs="Times New Roman"/>
          <w:sz w:val="20"/>
          <w:szCs w:val="20"/>
          <w:lang w:val="en-US"/>
        </w:rPr>
        <w:t>.</w:t>
      </w:r>
    </w:p>
    <w:p w:rsidR="00A2151E" w:rsidRDefault="00A2151E" w:rsidP="00F95B20">
      <w:pPr>
        <w:tabs>
          <w:tab w:val="left" w:pos="-284"/>
          <w:tab w:val="left" w:pos="284"/>
        </w:tabs>
        <w:spacing w:line="240" w:lineRule="auto"/>
        <w:ind w:left="284" w:hanging="284"/>
        <w:rPr>
          <w:rFonts w:ascii="Verdana" w:hAnsi="Verdana" w:cs="Times New Roman"/>
          <w:sz w:val="20"/>
          <w:szCs w:val="20"/>
          <w:lang w:val="en-US"/>
        </w:rPr>
      </w:pPr>
    </w:p>
    <w:p w:rsidR="00A2151E" w:rsidRDefault="00A2151E" w:rsidP="00F95B20">
      <w:pPr>
        <w:tabs>
          <w:tab w:val="left" w:pos="-284"/>
          <w:tab w:val="left" w:pos="284"/>
        </w:tabs>
        <w:spacing w:line="240" w:lineRule="auto"/>
        <w:ind w:left="284" w:hanging="284"/>
        <w:rPr>
          <w:rFonts w:ascii="Verdana" w:hAnsi="Verdana" w:cs="Times New Roman"/>
          <w:sz w:val="20"/>
          <w:szCs w:val="20"/>
          <w:lang w:val="en-US"/>
        </w:rPr>
      </w:pPr>
      <w:r w:rsidRPr="00A2151E">
        <w:rPr>
          <w:rFonts w:ascii="Verdana" w:hAnsi="Verdana" w:cs="Times New Roman"/>
          <w:i/>
          <w:sz w:val="20"/>
          <w:szCs w:val="20"/>
          <w:lang w:val="en-US"/>
        </w:rPr>
        <w:t>Pac Rim Cayman LLC vs. República de El Salvador</w:t>
      </w:r>
      <w:r>
        <w:rPr>
          <w:rFonts w:ascii="Verdana" w:hAnsi="Verdana" w:cs="Times New Roman"/>
          <w:sz w:val="20"/>
          <w:szCs w:val="20"/>
          <w:lang w:val="en-US"/>
        </w:rPr>
        <w:t>, Caso CIADI No. ARB/09/12</w:t>
      </w:r>
      <w:r w:rsidRPr="00A2151E">
        <w:rPr>
          <w:rFonts w:ascii="Verdana" w:hAnsi="Verdana" w:cs="Times New Roman"/>
          <w:sz w:val="20"/>
          <w:szCs w:val="20"/>
          <w:lang w:val="en-US"/>
        </w:rPr>
        <w:t>, 2009</w:t>
      </w:r>
      <w:r>
        <w:rPr>
          <w:rFonts w:ascii="Verdana" w:hAnsi="Verdana" w:cs="Times New Roman"/>
          <w:sz w:val="20"/>
          <w:szCs w:val="20"/>
          <w:lang w:val="en-US"/>
        </w:rPr>
        <w:t>.</w:t>
      </w: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p>
    <w:p w:rsidR="003E2AA5" w:rsidRDefault="003E2AA5" w:rsidP="00F95B20">
      <w:pPr>
        <w:tabs>
          <w:tab w:val="left" w:pos="-284"/>
          <w:tab w:val="left" w:pos="284"/>
        </w:tabs>
        <w:spacing w:line="240" w:lineRule="auto"/>
        <w:ind w:left="284" w:hanging="284"/>
        <w:rPr>
          <w:rFonts w:ascii="Verdana" w:hAnsi="Verdana" w:cs="Times New Roman"/>
          <w:sz w:val="20"/>
          <w:szCs w:val="20"/>
          <w:lang w:val="en-US"/>
        </w:rPr>
      </w:pPr>
      <w:r w:rsidRPr="003E2AA5">
        <w:rPr>
          <w:rFonts w:ascii="Verdana" w:hAnsi="Verdana" w:cs="Times New Roman"/>
          <w:i/>
          <w:sz w:val="20"/>
          <w:szCs w:val="20"/>
          <w:lang w:val="en-US"/>
        </w:rPr>
        <w:t>Pope &amp; Talbot Inc. vs. Canadá</w:t>
      </w:r>
      <w:r>
        <w:rPr>
          <w:rFonts w:ascii="Verdana" w:hAnsi="Verdana" w:cs="Times New Roman"/>
          <w:sz w:val="20"/>
          <w:szCs w:val="20"/>
          <w:lang w:val="en-US"/>
        </w:rPr>
        <w:t xml:space="preserve">, </w:t>
      </w:r>
      <w:r w:rsidRPr="003E2AA5">
        <w:rPr>
          <w:rFonts w:ascii="Verdana" w:hAnsi="Verdana" w:cs="Times New Roman"/>
          <w:sz w:val="20"/>
          <w:szCs w:val="20"/>
          <w:lang w:val="en-US"/>
        </w:rPr>
        <w:t>1999</w:t>
      </w:r>
      <w:r>
        <w:rPr>
          <w:rFonts w:ascii="Verdana" w:hAnsi="Verdana" w:cs="Times New Roman"/>
          <w:sz w:val="20"/>
          <w:szCs w:val="20"/>
          <w:lang w:val="en-US"/>
        </w:rPr>
        <w:t>.</w:t>
      </w: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p>
    <w:p w:rsidR="00151CBE" w:rsidRDefault="00151CBE" w:rsidP="00F95B20">
      <w:pPr>
        <w:tabs>
          <w:tab w:val="left" w:pos="-284"/>
          <w:tab w:val="left" w:pos="284"/>
        </w:tabs>
        <w:spacing w:line="240" w:lineRule="auto"/>
        <w:ind w:left="284" w:hanging="284"/>
        <w:rPr>
          <w:rFonts w:ascii="Verdana" w:hAnsi="Verdana" w:cs="Times New Roman"/>
          <w:sz w:val="20"/>
          <w:szCs w:val="20"/>
          <w:lang w:val="en-US"/>
        </w:rPr>
      </w:pPr>
      <w:r w:rsidRPr="00151CBE">
        <w:rPr>
          <w:rFonts w:ascii="Verdana" w:hAnsi="Verdana" w:cs="Times New Roman"/>
          <w:i/>
          <w:sz w:val="20"/>
          <w:szCs w:val="20"/>
          <w:lang w:val="en-US"/>
        </w:rPr>
        <w:t>Railroad Development Corporation vs. Guatemala</w:t>
      </w:r>
      <w:r w:rsidRPr="00151CBE">
        <w:rPr>
          <w:rFonts w:ascii="Verdana" w:hAnsi="Verdana" w:cs="Times New Roman"/>
          <w:sz w:val="20"/>
          <w:szCs w:val="20"/>
          <w:lang w:val="en-US"/>
        </w:rPr>
        <w:t>, ICSID Case No. ARB/07/23, 2007</w:t>
      </w:r>
      <w:r>
        <w:rPr>
          <w:rFonts w:ascii="Verdana" w:hAnsi="Verdana" w:cs="Times New Roman"/>
          <w:sz w:val="20"/>
          <w:szCs w:val="20"/>
          <w:lang w:val="en-US"/>
        </w:rPr>
        <w:t>.</w:t>
      </w:r>
    </w:p>
    <w:p w:rsidR="00D03373" w:rsidRDefault="00D03373" w:rsidP="00F95B20">
      <w:pPr>
        <w:tabs>
          <w:tab w:val="left" w:pos="-284"/>
          <w:tab w:val="left" w:pos="284"/>
        </w:tabs>
        <w:spacing w:line="240" w:lineRule="auto"/>
        <w:ind w:left="284" w:hanging="284"/>
        <w:rPr>
          <w:rFonts w:ascii="Verdana" w:hAnsi="Verdana" w:cs="Times New Roman"/>
          <w:sz w:val="20"/>
          <w:szCs w:val="20"/>
          <w:lang w:val="en-US"/>
        </w:rPr>
      </w:pPr>
    </w:p>
    <w:p w:rsidR="00D03373" w:rsidRDefault="00D03373" w:rsidP="00F95B20">
      <w:pPr>
        <w:tabs>
          <w:tab w:val="left" w:pos="-284"/>
          <w:tab w:val="left" w:pos="284"/>
        </w:tabs>
        <w:spacing w:line="240" w:lineRule="auto"/>
        <w:ind w:left="284" w:hanging="284"/>
        <w:rPr>
          <w:rFonts w:ascii="Verdana" w:hAnsi="Verdana" w:cs="Times New Roman"/>
          <w:sz w:val="20"/>
          <w:szCs w:val="20"/>
          <w:lang w:val="en-US"/>
        </w:rPr>
      </w:pPr>
      <w:r w:rsidRPr="00D03373">
        <w:rPr>
          <w:rFonts w:ascii="Verdana" w:hAnsi="Verdana" w:cs="Times New Roman"/>
          <w:i/>
          <w:sz w:val="20"/>
          <w:szCs w:val="20"/>
          <w:lang w:val="en-US"/>
        </w:rPr>
        <w:lastRenderedPageBreak/>
        <w:t>Telefónica S.A. vs. United Mexican States</w:t>
      </w:r>
      <w:r w:rsidRPr="00D03373">
        <w:rPr>
          <w:rFonts w:ascii="Verdana" w:hAnsi="Verdana" w:cs="Times New Roman"/>
          <w:sz w:val="20"/>
          <w:szCs w:val="20"/>
          <w:lang w:val="en-US"/>
        </w:rPr>
        <w:t>, ICSID Case No. ARB(AF)/12/4, Procedural Order No. 1, 2013</w:t>
      </w:r>
      <w:r>
        <w:rPr>
          <w:rFonts w:ascii="Verdana" w:hAnsi="Verdana" w:cs="Times New Roman"/>
          <w:sz w:val="20"/>
          <w:szCs w:val="20"/>
          <w:lang w:val="en-US"/>
        </w:rPr>
        <w:t>.</w:t>
      </w:r>
    </w:p>
    <w:p w:rsidR="00D5073F" w:rsidRDefault="00D5073F" w:rsidP="00F95B20">
      <w:pPr>
        <w:tabs>
          <w:tab w:val="left" w:pos="-284"/>
          <w:tab w:val="left" w:pos="284"/>
        </w:tabs>
        <w:spacing w:line="240" w:lineRule="auto"/>
        <w:ind w:left="284" w:hanging="284"/>
        <w:rPr>
          <w:rFonts w:ascii="Verdana" w:hAnsi="Verdana" w:cs="Times New Roman"/>
          <w:sz w:val="20"/>
          <w:szCs w:val="20"/>
          <w:lang w:val="en-US"/>
        </w:rPr>
      </w:pPr>
    </w:p>
    <w:p w:rsidR="00D5073F" w:rsidRPr="009B1442" w:rsidRDefault="00D5073F" w:rsidP="00F95B20">
      <w:pPr>
        <w:tabs>
          <w:tab w:val="left" w:pos="-284"/>
          <w:tab w:val="left" w:pos="284"/>
        </w:tabs>
        <w:spacing w:line="240" w:lineRule="auto"/>
        <w:ind w:left="284" w:hanging="284"/>
        <w:rPr>
          <w:rFonts w:ascii="Verdana" w:hAnsi="Verdana" w:cs="Times New Roman"/>
          <w:sz w:val="20"/>
          <w:szCs w:val="20"/>
          <w:lang w:val="en-US"/>
        </w:rPr>
      </w:pPr>
      <w:r w:rsidRPr="00D5073F">
        <w:rPr>
          <w:rFonts w:ascii="Verdana" w:hAnsi="Verdana" w:cs="Times New Roman"/>
          <w:i/>
          <w:sz w:val="20"/>
          <w:szCs w:val="20"/>
          <w:lang w:val="en-US"/>
        </w:rPr>
        <w:t>United Parcel</w:t>
      </w:r>
      <w:r w:rsidR="00CA7520">
        <w:rPr>
          <w:rFonts w:ascii="Verdana" w:hAnsi="Verdana" w:cs="Times New Roman"/>
          <w:i/>
          <w:sz w:val="20"/>
          <w:szCs w:val="20"/>
          <w:lang w:val="en-US"/>
        </w:rPr>
        <w:t xml:space="preserve"> Service of America, Inc. (UPS)</w:t>
      </w:r>
      <w:r w:rsidRPr="00D5073F">
        <w:rPr>
          <w:rFonts w:ascii="Verdana" w:hAnsi="Verdana" w:cs="Times New Roman"/>
          <w:i/>
          <w:sz w:val="20"/>
          <w:szCs w:val="20"/>
          <w:lang w:val="en-US"/>
        </w:rPr>
        <w:t xml:space="preserve"> vs. Canadá</w:t>
      </w:r>
      <w:r w:rsidRPr="00D5073F">
        <w:rPr>
          <w:rFonts w:ascii="Verdana" w:hAnsi="Verdana" w:cs="Times New Roman"/>
          <w:sz w:val="20"/>
          <w:szCs w:val="20"/>
          <w:lang w:val="en-US"/>
        </w:rPr>
        <w:t>, ICSID Case No. UNCT/02/1, 2000</w:t>
      </w:r>
      <w:r>
        <w:rPr>
          <w:rFonts w:ascii="Verdana" w:hAnsi="Verdana" w:cs="Times New Roman"/>
          <w:sz w:val="20"/>
          <w:szCs w:val="20"/>
          <w:lang w:val="en-US"/>
        </w:rPr>
        <w:t>.</w:t>
      </w:r>
    </w:p>
    <w:sectPr w:rsidR="00D5073F" w:rsidRPr="009B1442" w:rsidSect="008A54B5">
      <w:footerReference w:type="default" r:id="rId11"/>
      <w:type w:val="continuous"/>
      <w:pgSz w:w="11906" w:h="16838"/>
      <w:pgMar w:top="1418" w:right="1440" w:bottom="1440" w:left="1440" w:header="0" w:footer="709" w:gutter="0"/>
      <w:pgNumType w:start="1"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78" w:rsidRDefault="00631078">
      <w:pPr>
        <w:spacing w:line="240" w:lineRule="auto"/>
      </w:pPr>
      <w:r>
        <w:separator/>
      </w:r>
    </w:p>
  </w:endnote>
  <w:endnote w:type="continuationSeparator" w:id="0">
    <w:p w:rsidR="00631078" w:rsidRDefault="00631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948305"/>
      <w:docPartObj>
        <w:docPartGallery w:val="Page Numbers (Bottom of Page)"/>
        <w:docPartUnique/>
      </w:docPartObj>
    </w:sdtPr>
    <w:sdtEndPr/>
    <w:sdtContent>
      <w:p w:rsidR="006E10EA" w:rsidRDefault="006E10EA">
        <w:pPr>
          <w:pStyle w:val="Piedepgina"/>
          <w:jc w:val="center"/>
        </w:pPr>
        <w:r>
          <w:fldChar w:fldCharType="begin"/>
        </w:r>
        <w:r>
          <w:instrText>PAGE   \* MERGEFORMAT</w:instrText>
        </w:r>
        <w:r>
          <w:fldChar w:fldCharType="separate"/>
        </w:r>
        <w:r w:rsidR="00E62D58">
          <w:rPr>
            <w:noProof/>
          </w:rPr>
          <w:t>2</w:t>
        </w:r>
        <w:r>
          <w:fldChar w:fldCharType="end"/>
        </w:r>
      </w:p>
    </w:sdtContent>
  </w:sdt>
  <w:p w:rsidR="006E10EA" w:rsidRDefault="006E1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78" w:rsidRDefault="00631078">
      <w:pPr>
        <w:spacing w:line="240" w:lineRule="auto"/>
      </w:pPr>
      <w:r>
        <w:separator/>
      </w:r>
    </w:p>
  </w:footnote>
  <w:footnote w:type="continuationSeparator" w:id="0">
    <w:p w:rsidR="00631078" w:rsidRDefault="00631078">
      <w:pPr>
        <w:spacing w:line="240" w:lineRule="auto"/>
      </w:pPr>
      <w:r>
        <w:continuationSeparator/>
      </w:r>
    </w:p>
  </w:footnote>
  <w:footnote w:id="1">
    <w:p w:rsidR="00AA3DB0" w:rsidRPr="003700E8" w:rsidRDefault="00AA3DB0" w:rsidP="00AA3DB0">
      <w:pPr>
        <w:pStyle w:val="Textonotapie"/>
        <w:rPr>
          <w:rFonts w:ascii="Verdana" w:hAnsi="Verdana"/>
          <w:sz w:val="18"/>
          <w:szCs w:val="18"/>
          <w:lang w:val="es-MX"/>
        </w:rPr>
      </w:pPr>
      <w:r w:rsidRPr="003700E8">
        <w:rPr>
          <w:rStyle w:val="Refdenotaalpie"/>
          <w:rFonts w:ascii="Verdana" w:hAnsi="Verdana"/>
          <w:sz w:val="18"/>
          <w:szCs w:val="18"/>
        </w:rPr>
        <w:footnoteRef/>
      </w:r>
      <w:r w:rsidRPr="003700E8">
        <w:rPr>
          <w:rFonts w:ascii="Verdana" w:hAnsi="Verdana"/>
          <w:sz w:val="18"/>
          <w:szCs w:val="18"/>
        </w:rPr>
        <w:t xml:space="preserve"> Doctor en Derecho por la Unive</w:t>
      </w:r>
      <w:r>
        <w:rPr>
          <w:rFonts w:ascii="Verdana" w:hAnsi="Verdana"/>
          <w:sz w:val="18"/>
          <w:szCs w:val="18"/>
        </w:rPr>
        <w:t>rsidad de Girona (Sobresaliente “</w:t>
      </w:r>
      <w:r w:rsidRPr="003700E8">
        <w:rPr>
          <w:rFonts w:ascii="Verdana" w:hAnsi="Verdana"/>
          <w:sz w:val="18"/>
          <w:szCs w:val="18"/>
        </w:rPr>
        <w:t>Cum Laude</w:t>
      </w:r>
      <w:r>
        <w:rPr>
          <w:rFonts w:ascii="Verdana" w:hAnsi="Verdana"/>
          <w:sz w:val="18"/>
          <w:szCs w:val="18"/>
        </w:rPr>
        <w:t>” por unanimidad)</w:t>
      </w:r>
      <w:r w:rsidRPr="003700E8">
        <w:rPr>
          <w:rFonts w:ascii="Verdana" w:hAnsi="Verdana"/>
          <w:sz w:val="18"/>
          <w:szCs w:val="18"/>
        </w:rPr>
        <w:t xml:space="preserve">. </w:t>
      </w:r>
      <w:r>
        <w:rPr>
          <w:rFonts w:ascii="Verdana" w:hAnsi="Verdana"/>
          <w:sz w:val="18"/>
          <w:szCs w:val="18"/>
        </w:rPr>
        <w:t>H</w:t>
      </w:r>
      <w:r w:rsidRPr="003700E8">
        <w:rPr>
          <w:rFonts w:ascii="Verdana" w:hAnsi="Verdana"/>
          <w:sz w:val="18"/>
          <w:szCs w:val="18"/>
        </w:rPr>
        <w:t xml:space="preserve">a impartido conferencias y cursos de especialización en varias universidades nacionales y extranjeras. Es autor de una monografía y numerosos artículos publicados en revistas nacionales e internacionales especializadas en el ámbito jurídico. Las líneas de investigación </w:t>
      </w:r>
      <w:r>
        <w:rPr>
          <w:rFonts w:ascii="Verdana" w:hAnsi="Verdana"/>
          <w:sz w:val="18"/>
          <w:szCs w:val="18"/>
        </w:rPr>
        <w:t xml:space="preserve">que desarrolla actualmente </w:t>
      </w:r>
      <w:r w:rsidRPr="003700E8">
        <w:rPr>
          <w:rFonts w:ascii="Verdana" w:hAnsi="Verdana"/>
          <w:sz w:val="18"/>
          <w:szCs w:val="18"/>
        </w:rPr>
        <w:t>se relacionan con el Derecho internacional privado, el Comercio internacional y la Inversión extranjera, centrándose en ésta última, en las cuestiones relacionadas con la resolución de controversias, específicamente, el arbitraje comercial internacional y el arbitraje de inversiones. Es miembro de varios grupos de investigación en España y en el extranjero. Actualmente se desempeña como director académico de la Red Iberoamericana de Investigación Interuniversitaria para el Diálogo Jurídico entre Europa y América (REDIJEA) perteneciente a la Universidad de Girona, España.</w:t>
      </w:r>
    </w:p>
  </w:footnote>
  <w:footnote w:id="2">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lang w:val="es-MX"/>
        </w:rPr>
        <w:t xml:space="preserve"> Véase el </w:t>
      </w:r>
      <w:proofErr w:type="spellStart"/>
      <w:r w:rsidRPr="003700E8">
        <w:rPr>
          <w:rFonts w:ascii="Verdana" w:hAnsi="Verdana" w:cs="Times New Roman"/>
          <w:sz w:val="18"/>
          <w:szCs w:val="18"/>
          <w:lang w:val="es-MX"/>
        </w:rPr>
        <w:t>Report</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on</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Confidentiality</w:t>
      </w:r>
      <w:proofErr w:type="spellEnd"/>
      <w:r w:rsidRPr="003700E8">
        <w:rPr>
          <w:rFonts w:ascii="Verdana" w:hAnsi="Verdana" w:cs="Times New Roman"/>
          <w:sz w:val="18"/>
          <w:szCs w:val="18"/>
          <w:lang w:val="es-MX"/>
        </w:rPr>
        <w:t xml:space="preserve"> in International </w:t>
      </w:r>
      <w:proofErr w:type="spellStart"/>
      <w:r w:rsidRPr="003700E8">
        <w:rPr>
          <w:rFonts w:ascii="Verdana" w:hAnsi="Verdana" w:cs="Times New Roman"/>
          <w:sz w:val="18"/>
          <w:szCs w:val="18"/>
          <w:lang w:val="es-MX"/>
        </w:rPr>
        <w:t>Commercial</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Arbitration</w:t>
      </w:r>
      <w:proofErr w:type="spellEnd"/>
      <w:r w:rsidRPr="003700E8">
        <w:rPr>
          <w:rFonts w:ascii="Verdana" w:hAnsi="Verdana" w:cs="Times New Roman"/>
          <w:sz w:val="18"/>
          <w:szCs w:val="18"/>
          <w:lang w:val="es-MX"/>
        </w:rPr>
        <w:t xml:space="preserve">, adoptado por el </w:t>
      </w:r>
      <w:proofErr w:type="spellStart"/>
      <w:r w:rsidRPr="003700E8">
        <w:rPr>
          <w:rFonts w:ascii="Verdana" w:hAnsi="Verdana" w:cs="Times New Roman"/>
          <w:sz w:val="18"/>
          <w:szCs w:val="18"/>
          <w:lang w:val="es-MX"/>
        </w:rPr>
        <w:t>Committee</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on</w:t>
      </w:r>
      <w:proofErr w:type="spellEnd"/>
      <w:r w:rsidRPr="003700E8">
        <w:rPr>
          <w:rFonts w:ascii="Verdana" w:hAnsi="Verdana" w:cs="Times New Roman"/>
          <w:sz w:val="18"/>
          <w:szCs w:val="18"/>
          <w:lang w:val="es-MX"/>
        </w:rPr>
        <w:t xml:space="preserve"> International </w:t>
      </w:r>
      <w:proofErr w:type="spellStart"/>
      <w:r w:rsidRPr="003700E8">
        <w:rPr>
          <w:rFonts w:ascii="Verdana" w:hAnsi="Verdana" w:cs="Times New Roman"/>
          <w:sz w:val="18"/>
          <w:szCs w:val="18"/>
          <w:lang w:val="es-MX"/>
        </w:rPr>
        <w:t>Commercial</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Arbitration</w:t>
      </w:r>
      <w:proofErr w:type="spellEnd"/>
      <w:r w:rsidRPr="003700E8">
        <w:rPr>
          <w:rFonts w:ascii="Verdana" w:hAnsi="Verdana" w:cs="Times New Roman"/>
          <w:sz w:val="18"/>
          <w:szCs w:val="18"/>
          <w:lang w:val="es-MX"/>
        </w:rPr>
        <w:t xml:space="preserve"> de la International </w:t>
      </w:r>
      <w:proofErr w:type="spellStart"/>
      <w:r w:rsidRPr="003700E8">
        <w:rPr>
          <w:rFonts w:ascii="Verdana" w:hAnsi="Verdana" w:cs="Times New Roman"/>
          <w:sz w:val="18"/>
          <w:szCs w:val="18"/>
          <w:lang w:val="es-MX"/>
        </w:rPr>
        <w:t>Law</w:t>
      </w:r>
      <w:proofErr w:type="spellEnd"/>
      <w:r w:rsidRPr="003700E8">
        <w:rPr>
          <w:rFonts w:ascii="Verdana" w:hAnsi="Verdana" w:cs="Times New Roman"/>
          <w:sz w:val="18"/>
          <w:szCs w:val="18"/>
          <w:lang w:val="es-MX"/>
        </w:rPr>
        <w:t xml:space="preserve"> </w:t>
      </w:r>
      <w:proofErr w:type="spellStart"/>
      <w:r w:rsidRPr="003700E8">
        <w:rPr>
          <w:rFonts w:ascii="Verdana" w:hAnsi="Verdana" w:cs="Times New Roman"/>
          <w:sz w:val="18"/>
          <w:szCs w:val="18"/>
          <w:lang w:val="es-MX"/>
        </w:rPr>
        <w:t>Association</w:t>
      </w:r>
      <w:proofErr w:type="spellEnd"/>
      <w:r w:rsidRPr="003700E8">
        <w:rPr>
          <w:rFonts w:ascii="Verdana" w:hAnsi="Verdana" w:cs="Times New Roman"/>
          <w:sz w:val="18"/>
          <w:szCs w:val="18"/>
          <w:lang w:val="es-MX"/>
        </w:rPr>
        <w:t xml:space="preserve">, 2010. Disponible en: </w:t>
      </w:r>
      <w:hyperlink r:id="rId1" w:history="1">
        <w:r w:rsidRPr="003700E8">
          <w:rPr>
            <w:rStyle w:val="Hipervnculo"/>
            <w:rFonts w:ascii="Verdana" w:hAnsi="Verdana" w:cs="Times New Roman"/>
            <w:sz w:val="18"/>
            <w:szCs w:val="18"/>
            <w:lang w:val="es-MX"/>
          </w:rPr>
          <w:t>http://www.ila-hq.org/en/committees/index.cfm/cid/19</w:t>
        </w:r>
      </w:hyperlink>
      <w:r w:rsidRPr="003700E8">
        <w:rPr>
          <w:rFonts w:ascii="Verdana" w:hAnsi="Verdana" w:cs="Times New Roman"/>
          <w:sz w:val="18"/>
          <w:szCs w:val="18"/>
          <w:lang w:val="es-MX"/>
        </w:rPr>
        <w:t>, c</w:t>
      </w:r>
      <w:r>
        <w:rPr>
          <w:rFonts w:ascii="Verdana" w:hAnsi="Verdana" w:cs="Times New Roman"/>
          <w:sz w:val="18"/>
          <w:szCs w:val="18"/>
        </w:rPr>
        <w:t>onsultado 14</w:t>
      </w:r>
      <w:r w:rsidRPr="003700E8">
        <w:rPr>
          <w:rFonts w:ascii="Verdana" w:hAnsi="Verdana" w:cs="Times New Roman"/>
          <w:sz w:val="18"/>
          <w:szCs w:val="18"/>
        </w:rPr>
        <w:t>/0</w:t>
      </w:r>
      <w:r>
        <w:rPr>
          <w:rFonts w:ascii="Verdana" w:hAnsi="Verdana" w:cs="Times New Roman"/>
          <w:sz w:val="18"/>
          <w:szCs w:val="18"/>
        </w:rPr>
        <w:t>5</w:t>
      </w:r>
      <w:r w:rsidRPr="003700E8">
        <w:rPr>
          <w:rFonts w:ascii="Verdana" w:hAnsi="Verdana" w:cs="Times New Roman"/>
          <w:sz w:val="18"/>
          <w:szCs w:val="18"/>
        </w:rPr>
        <w:t>/2019.</w:t>
      </w:r>
    </w:p>
  </w:footnote>
  <w:footnote w:id="3">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Pr>
          <w:rFonts w:ascii="Verdana" w:hAnsi="Verdana" w:cs="Times New Roman"/>
          <w:sz w:val="18"/>
          <w:szCs w:val="18"/>
        </w:rPr>
        <w:t xml:space="preserve"> </w:t>
      </w:r>
      <w:r w:rsidRPr="003E4137">
        <w:rPr>
          <w:rFonts w:ascii="Verdana" w:hAnsi="Verdana" w:cs="Times New Roman"/>
          <w:sz w:val="18"/>
          <w:szCs w:val="18"/>
        </w:rPr>
        <w:t xml:space="preserve">GAILLARD, E., DE LAPASSE, P. “Le nouveau droit français de l´arbitrage interne et international”, </w:t>
      </w:r>
      <w:r w:rsidRPr="003E4137">
        <w:rPr>
          <w:rFonts w:ascii="Verdana" w:hAnsi="Verdana" w:cs="Times New Roman"/>
          <w:i/>
          <w:sz w:val="18"/>
          <w:szCs w:val="18"/>
        </w:rPr>
        <w:t>Recueil Dalloz</w:t>
      </w:r>
      <w:r w:rsidRPr="003E4137">
        <w:rPr>
          <w:rFonts w:ascii="Verdana" w:hAnsi="Verdana" w:cs="Times New Roman"/>
          <w:sz w:val="18"/>
          <w:szCs w:val="18"/>
        </w:rPr>
        <w:t>, 2011</w:t>
      </w:r>
      <w:r w:rsidRPr="003700E8">
        <w:rPr>
          <w:rFonts w:ascii="Verdana" w:hAnsi="Verdana" w:cs="Times New Roman"/>
          <w:sz w:val="18"/>
          <w:szCs w:val="18"/>
        </w:rPr>
        <w:t>, p.84.</w:t>
      </w:r>
    </w:p>
  </w:footnote>
  <w:footnote w:id="4">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Pr>
          <w:rFonts w:ascii="Verdana" w:hAnsi="Verdana" w:cs="Times New Roman"/>
          <w:sz w:val="18"/>
          <w:szCs w:val="18"/>
        </w:rPr>
        <w:t xml:space="preserve"> </w:t>
      </w:r>
      <w:r w:rsidRPr="009932FB">
        <w:rPr>
          <w:rFonts w:ascii="Verdana" w:hAnsi="Verdana" w:cs="Times New Roman"/>
          <w:sz w:val="18"/>
          <w:szCs w:val="18"/>
        </w:rPr>
        <w:t>FERNÁNDEZ ARROYO, D.P. “El auge del arbitraje frente al debate sobre su legitimidad</w:t>
      </w:r>
      <w:r w:rsidRPr="009932FB">
        <w:rPr>
          <w:rFonts w:ascii="Verdana" w:hAnsi="Verdana" w:cs="Arial"/>
          <w:sz w:val="18"/>
          <w:szCs w:val="18"/>
        </w:rPr>
        <w:t>”</w:t>
      </w:r>
      <w:r w:rsidRPr="009932FB">
        <w:rPr>
          <w:rFonts w:ascii="Verdana" w:hAnsi="Verdana" w:cs="Times New Roman"/>
          <w:sz w:val="18"/>
          <w:szCs w:val="18"/>
        </w:rPr>
        <w:t xml:space="preserve"> </w:t>
      </w:r>
      <w:r w:rsidRPr="009932FB">
        <w:rPr>
          <w:rFonts w:ascii="Verdana" w:hAnsi="Verdana" w:cs="Times New Roman"/>
          <w:i/>
          <w:sz w:val="18"/>
          <w:szCs w:val="18"/>
        </w:rPr>
        <w:t xml:space="preserve">Jornadas sobre </w:t>
      </w:r>
      <w:proofErr w:type="spellStart"/>
      <w:r w:rsidRPr="009932FB">
        <w:rPr>
          <w:rFonts w:ascii="Verdana" w:hAnsi="Verdana" w:cs="Times New Roman"/>
          <w:i/>
          <w:sz w:val="18"/>
          <w:szCs w:val="18"/>
        </w:rPr>
        <w:t>The</w:t>
      </w:r>
      <w:proofErr w:type="spellEnd"/>
      <w:r w:rsidRPr="009932FB">
        <w:rPr>
          <w:rFonts w:ascii="Verdana" w:hAnsi="Verdana" w:cs="Times New Roman"/>
          <w:i/>
          <w:sz w:val="18"/>
          <w:szCs w:val="18"/>
        </w:rPr>
        <w:t xml:space="preserve"> </w:t>
      </w:r>
      <w:proofErr w:type="spellStart"/>
      <w:r w:rsidRPr="009932FB">
        <w:rPr>
          <w:rFonts w:ascii="Verdana" w:hAnsi="Verdana" w:cs="Times New Roman"/>
          <w:i/>
          <w:sz w:val="18"/>
          <w:szCs w:val="18"/>
        </w:rPr>
        <w:t>Transformation</w:t>
      </w:r>
      <w:proofErr w:type="spellEnd"/>
      <w:r w:rsidRPr="009932FB">
        <w:rPr>
          <w:rFonts w:ascii="Verdana" w:hAnsi="Verdana" w:cs="Times New Roman"/>
          <w:i/>
          <w:sz w:val="18"/>
          <w:szCs w:val="18"/>
        </w:rPr>
        <w:t xml:space="preserve"> of </w:t>
      </w:r>
      <w:proofErr w:type="spellStart"/>
      <w:r w:rsidRPr="009932FB">
        <w:rPr>
          <w:rFonts w:ascii="Verdana" w:hAnsi="Verdana" w:cs="Times New Roman"/>
          <w:i/>
          <w:sz w:val="18"/>
          <w:szCs w:val="18"/>
        </w:rPr>
        <w:t>Enforcement</w:t>
      </w:r>
      <w:proofErr w:type="spellEnd"/>
      <w:r w:rsidRPr="009932FB">
        <w:rPr>
          <w:rFonts w:ascii="Verdana" w:hAnsi="Verdana" w:cs="Times New Roman"/>
          <w:sz w:val="18"/>
          <w:szCs w:val="18"/>
        </w:rPr>
        <w:t>, Instituto Universitario Europeo de Florencia, 2013</w:t>
      </w:r>
      <w:r w:rsidRPr="003700E8">
        <w:rPr>
          <w:rFonts w:ascii="Verdana" w:hAnsi="Verdana" w:cs="Times New Roman"/>
          <w:sz w:val="18"/>
          <w:szCs w:val="18"/>
        </w:rPr>
        <w:t>.</w:t>
      </w:r>
    </w:p>
  </w:footnote>
  <w:footnote w:id="5">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párrafo 6, del Prefacio del </w:t>
      </w:r>
      <w:r w:rsidRPr="006D66DF">
        <w:rPr>
          <w:rFonts w:ascii="Verdana" w:hAnsi="Verdana" w:cs="Times New Roman"/>
          <w:sz w:val="18"/>
          <w:szCs w:val="18"/>
        </w:rPr>
        <w:t>Reglamento de Arbitraje de la CCI del 2017</w:t>
      </w:r>
      <w:r w:rsidRPr="003700E8">
        <w:rPr>
          <w:rFonts w:ascii="Verdana" w:hAnsi="Verdana" w:cs="Times New Roman"/>
          <w:sz w:val="18"/>
          <w:szCs w:val="18"/>
        </w:rPr>
        <w:t xml:space="preserve">, reconoce que: </w:t>
      </w:r>
      <w:r w:rsidRPr="003700E8">
        <w:rPr>
          <w:rFonts w:ascii="Verdana" w:hAnsi="Verdana" w:cs="Times New Roman"/>
          <w:i/>
          <w:sz w:val="18"/>
          <w:szCs w:val="18"/>
        </w:rPr>
        <w:t>“Con el Reglamento de 2017, los arbitrajes de la CCI serán aún más transparentes, ya que ahora la Corte podrá comunicar los motivos de un número amplio de decisiones importantes, si así lo solicita una de las partes. El artículo 11(4) se ha modificado en este sentido”.</w:t>
      </w:r>
      <w:r w:rsidRPr="003700E8">
        <w:rPr>
          <w:rFonts w:ascii="Verdana" w:hAnsi="Verdana" w:cs="Times New Roman"/>
          <w:sz w:val="18"/>
          <w:szCs w:val="18"/>
        </w:rPr>
        <w:t xml:space="preserve"> </w:t>
      </w:r>
    </w:p>
  </w:footnote>
  <w:footnote w:id="6">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Tal y como lo refleja la “Nota a las partes y al tribunal arbitral sobre la conducción del arbitraje de conformidad con el Reglamento de Arbitraje de la CCI”, emitida por la CCI, en fecha 1 de marzo de 2017. Disponible en: </w:t>
      </w:r>
      <w:hyperlink r:id="rId2" w:history="1">
        <w:r w:rsidRPr="003700E8">
          <w:rPr>
            <w:rStyle w:val="Hipervnculo"/>
            <w:rFonts w:ascii="Verdana" w:hAnsi="Verdana" w:cs="Times New Roman"/>
            <w:sz w:val="18"/>
            <w:szCs w:val="18"/>
          </w:rPr>
          <w:t>http://www.iccspain.org/wp-content/uploads/2017/03/Nota-a-las-partes-y-al-Tribunal-Arbitral-sobre-la-conducci%C3%B3n-del-arbitraje-de-conformidad-con-el-Reglamento-de-Arbitraje_CCI_1-marzo-2.pdf</w:t>
        </w:r>
      </w:hyperlink>
      <w:r w:rsidRPr="003700E8">
        <w:rPr>
          <w:rFonts w:ascii="Verdana" w:hAnsi="Verdana" w:cs="Times New Roman"/>
          <w:sz w:val="18"/>
          <w:szCs w:val="18"/>
        </w:rPr>
        <w:t xml:space="preserve">, consultado el </w:t>
      </w:r>
      <w:r>
        <w:rPr>
          <w:rFonts w:ascii="Verdana" w:hAnsi="Verdana" w:cs="Times New Roman"/>
          <w:sz w:val="18"/>
          <w:szCs w:val="18"/>
        </w:rPr>
        <w:t>14/05</w:t>
      </w:r>
      <w:r w:rsidRPr="003700E8">
        <w:rPr>
          <w:rFonts w:ascii="Verdana" w:hAnsi="Verdana" w:cs="Times New Roman"/>
          <w:sz w:val="18"/>
          <w:szCs w:val="18"/>
        </w:rPr>
        <w:t xml:space="preserve">/2019. </w:t>
      </w:r>
    </w:p>
  </w:footnote>
  <w:footnote w:id="7">
    <w:p w:rsidR="006E10EA" w:rsidRPr="0044757C"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Al respecto, el Artículo 26.3 del Reglamento de Arbitraje de la CCI, establece: “</w:t>
      </w:r>
      <w:r w:rsidRPr="003700E8">
        <w:rPr>
          <w:rFonts w:ascii="Verdana" w:hAnsi="Verdana" w:cs="Times New Roman"/>
          <w:i/>
          <w:sz w:val="18"/>
          <w:szCs w:val="18"/>
        </w:rPr>
        <w:t>El tribunal arbitral tendrá la plena dirección de las audiencias, en las cuales todas las partes tienen derecho a estar presente. Salvo autorización del tribunal arbitral y de las partes, las audiencias no estarán abiertas a personas ajenas al proceso</w:t>
      </w:r>
      <w:r w:rsidRPr="003700E8">
        <w:rPr>
          <w:rFonts w:ascii="Verdana" w:hAnsi="Verdana" w:cs="Times New Roman"/>
          <w:sz w:val="18"/>
          <w:szCs w:val="18"/>
        </w:rPr>
        <w:t>”.</w:t>
      </w:r>
      <w:r w:rsidRPr="0044757C">
        <w:rPr>
          <w:rFonts w:ascii="Verdana" w:hAnsi="Verdana" w:cs="Times New Roman"/>
          <w:sz w:val="18"/>
          <w:szCs w:val="18"/>
        </w:rPr>
        <w:t xml:space="preserve"> </w:t>
      </w:r>
    </w:p>
  </w:footnote>
  <w:footnote w:id="8">
    <w:p w:rsidR="006E10EA" w:rsidRPr="003700E8" w:rsidRDefault="006E10EA" w:rsidP="00754A61">
      <w:pPr>
        <w:pStyle w:val="Textonotapie"/>
        <w:rPr>
          <w:rFonts w:ascii="Verdana" w:hAnsi="Verdana" w:cs="Times New Roman"/>
          <w:sz w:val="18"/>
          <w:szCs w:val="18"/>
          <w:lang w:val="en-US"/>
        </w:rPr>
      </w:pPr>
      <w:r w:rsidRPr="003700E8">
        <w:rPr>
          <w:rStyle w:val="Refdenotaalpie"/>
          <w:rFonts w:ascii="Verdana" w:hAnsi="Verdana" w:cs="Times New Roman"/>
          <w:sz w:val="18"/>
          <w:szCs w:val="18"/>
        </w:rPr>
        <w:footnoteRef/>
      </w:r>
      <w:r>
        <w:rPr>
          <w:rFonts w:ascii="Verdana" w:hAnsi="Verdana" w:cs="Times New Roman"/>
          <w:sz w:val="18"/>
          <w:szCs w:val="18"/>
          <w:lang w:val="en-US"/>
        </w:rPr>
        <w:t xml:space="preserve"> </w:t>
      </w:r>
      <w:r w:rsidRPr="000076BC">
        <w:rPr>
          <w:rFonts w:ascii="Verdana" w:hAnsi="Verdana" w:cs="Times New Roman"/>
          <w:sz w:val="18"/>
          <w:szCs w:val="18"/>
          <w:lang w:val="en-US"/>
        </w:rPr>
        <w:t>FELICIANO</w:t>
      </w:r>
      <w:r>
        <w:rPr>
          <w:rFonts w:ascii="Verdana" w:hAnsi="Verdana" w:cs="Times New Roman"/>
          <w:sz w:val="18"/>
          <w:szCs w:val="18"/>
          <w:lang w:val="en-US"/>
        </w:rPr>
        <w:t>, F.</w:t>
      </w:r>
      <w:r w:rsidRPr="003700E8">
        <w:rPr>
          <w:rFonts w:ascii="Verdana" w:hAnsi="Verdana" w:cs="Times New Roman"/>
          <w:sz w:val="18"/>
          <w:szCs w:val="18"/>
          <w:lang w:val="en-US"/>
        </w:rPr>
        <w:t xml:space="preserve"> “The 'Ordre Public' Dimensions of Confidentiality and Transparency in International Arbitration: Examining Confidentiality in the Light of Governance Requirements in International Investment and Trade Arbitration”</w:t>
      </w:r>
      <w:r>
        <w:rPr>
          <w:rFonts w:ascii="Verdana" w:hAnsi="Verdana" w:cs="Times New Roman"/>
          <w:sz w:val="18"/>
          <w:szCs w:val="18"/>
          <w:lang w:val="en-US"/>
        </w:rPr>
        <w:t>, in NAKAGAWA, J. (Ed).</w:t>
      </w:r>
      <w:r w:rsidRPr="003700E8">
        <w:rPr>
          <w:rFonts w:ascii="Verdana" w:hAnsi="Verdana" w:cs="Times New Roman"/>
          <w:sz w:val="18"/>
          <w:szCs w:val="18"/>
          <w:lang w:val="en-US"/>
        </w:rPr>
        <w:t xml:space="preserve"> </w:t>
      </w:r>
      <w:r w:rsidRPr="003700E8">
        <w:rPr>
          <w:rFonts w:ascii="Verdana" w:hAnsi="Verdana" w:cs="Times New Roman"/>
          <w:i/>
          <w:sz w:val="18"/>
          <w:szCs w:val="18"/>
          <w:lang w:val="en-US"/>
        </w:rPr>
        <w:t xml:space="preserve">Transparency in International Trade and Investment Dispute Settlement, </w:t>
      </w:r>
      <w:r w:rsidRPr="003700E8">
        <w:rPr>
          <w:rFonts w:ascii="Verdana" w:hAnsi="Verdana" w:cs="Times New Roman"/>
          <w:sz w:val="18"/>
          <w:szCs w:val="18"/>
          <w:lang w:val="en-US"/>
        </w:rPr>
        <w:t xml:space="preserve">Routledge, London, 2013, pp. 15-29. </w:t>
      </w:r>
    </w:p>
  </w:footnote>
  <w:footnote w:id="9">
    <w:p w:rsidR="006E10EA" w:rsidRPr="003700E8" w:rsidRDefault="006E10EA" w:rsidP="00754A61">
      <w:pPr>
        <w:pStyle w:val="Textonotapie"/>
        <w:rPr>
          <w:rFonts w:ascii="Verdana" w:hAnsi="Verdana" w:cs="Times New Roman"/>
          <w:sz w:val="18"/>
          <w:szCs w:val="18"/>
          <w:lang w:val="en-US"/>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w:t>
      </w:r>
      <w:r w:rsidRPr="000076BC">
        <w:rPr>
          <w:rFonts w:ascii="Verdana" w:hAnsi="Verdana" w:cs="Times New Roman"/>
          <w:sz w:val="18"/>
          <w:szCs w:val="18"/>
          <w:lang w:val="en-US"/>
        </w:rPr>
        <w:t>DE LY,</w:t>
      </w:r>
      <w:r w:rsidRPr="003700E8">
        <w:rPr>
          <w:rFonts w:ascii="Verdana" w:hAnsi="Verdana" w:cs="Times New Roman"/>
          <w:sz w:val="18"/>
          <w:szCs w:val="18"/>
          <w:lang w:val="en-US"/>
        </w:rPr>
        <w:t xml:space="preserve"> F., FRIEDMAN, M.,</w:t>
      </w:r>
      <w:r>
        <w:rPr>
          <w:rFonts w:ascii="Verdana" w:hAnsi="Verdana" w:cs="Times New Roman"/>
          <w:sz w:val="18"/>
          <w:szCs w:val="18"/>
          <w:lang w:val="en-US"/>
        </w:rPr>
        <w:t xml:space="preserve"> RADICATI DI BROZOLO, L. (Eds.).</w:t>
      </w:r>
      <w:r w:rsidRPr="003700E8">
        <w:rPr>
          <w:rFonts w:ascii="Verdana" w:hAnsi="Verdana" w:cs="Times New Roman"/>
          <w:sz w:val="18"/>
          <w:szCs w:val="18"/>
          <w:lang w:val="en-US"/>
        </w:rPr>
        <w:t xml:space="preserve"> “International Law Association International Commercial Arbitration Committee's Report and Recommendations on 'Confidentiality in International Commercial Arbitration”, </w:t>
      </w:r>
      <w:r w:rsidRPr="0031195E">
        <w:rPr>
          <w:rFonts w:ascii="Verdana" w:hAnsi="Verdana" w:cs="Times New Roman"/>
          <w:i/>
          <w:sz w:val="18"/>
          <w:szCs w:val="18"/>
          <w:lang w:val="en-US"/>
        </w:rPr>
        <w:t>International Law Association</w:t>
      </w:r>
      <w:r w:rsidRPr="003700E8">
        <w:rPr>
          <w:rFonts w:ascii="Verdana" w:hAnsi="Verdana" w:cs="Times New Roman"/>
          <w:sz w:val="18"/>
          <w:szCs w:val="18"/>
          <w:lang w:val="en-US"/>
        </w:rPr>
        <w:t xml:space="preserve">, 2012. Disponible en: </w:t>
      </w:r>
      <w:hyperlink r:id="rId3" w:history="1">
        <w:r w:rsidRPr="003700E8">
          <w:rPr>
            <w:rStyle w:val="Hipervnculo"/>
            <w:rFonts w:ascii="Verdana" w:hAnsi="Verdana" w:cs="Times New Roman"/>
            <w:sz w:val="18"/>
            <w:szCs w:val="18"/>
            <w:lang w:val="en-US"/>
          </w:rPr>
          <w:t>http://arbitration.oxfordjournals.org/content/28/3/355</w:t>
        </w:r>
      </w:hyperlink>
      <w:r>
        <w:rPr>
          <w:rFonts w:ascii="Verdana" w:hAnsi="Verdana" w:cs="Times New Roman"/>
          <w:sz w:val="18"/>
          <w:szCs w:val="18"/>
          <w:lang w:val="en-US"/>
        </w:rPr>
        <w:t>, consultado el 14/05/</w:t>
      </w:r>
      <w:r w:rsidRPr="003700E8">
        <w:rPr>
          <w:rFonts w:ascii="Verdana" w:hAnsi="Verdana" w:cs="Times New Roman"/>
          <w:sz w:val="18"/>
          <w:szCs w:val="18"/>
          <w:lang w:val="en-US"/>
        </w:rPr>
        <w:t xml:space="preserve">2019. </w:t>
      </w:r>
    </w:p>
  </w:footnote>
  <w:footnote w:id="10">
    <w:p w:rsidR="006E10EA" w:rsidRPr="003700E8" w:rsidRDefault="006E10EA" w:rsidP="00754A61">
      <w:pPr>
        <w:pStyle w:val="Textonotapie"/>
        <w:rPr>
          <w:rFonts w:ascii="Verdana" w:hAnsi="Verdana" w:cs="Times New Roman"/>
          <w:sz w:val="18"/>
          <w:szCs w:val="18"/>
          <w:lang w:val="en-US"/>
        </w:rPr>
      </w:pPr>
      <w:r w:rsidRPr="003700E8">
        <w:rPr>
          <w:rStyle w:val="Refdenotaalpie"/>
          <w:rFonts w:ascii="Verdana" w:hAnsi="Verdana" w:cs="Times New Roman"/>
          <w:sz w:val="18"/>
          <w:szCs w:val="18"/>
        </w:rPr>
        <w:footnoteRef/>
      </w:r>
      <w:r>
        <w:rPr>
          <w:rFonts w:ascii="Verdana" w:hAnsi="Verdana" w:cs="Times New Roman"/>
          <w:sz w:val="18"/>
          <w:szCs w:val="18"/>
          <w:lang w:val="en-US"/>
        </w:rPr>
        <w:t xml:space="preserve"> </w:t>
      </w:r>
      <w:r w:rsidRPr="000076BC">
        <w:rPr>
          <w:rFonts w:ascii="Verdana" w:hAnsi="Verdana" w:cs="Times New Roman"/>
          <w:sz w:val="18"/>
          <w:szCs w:val="18"/>
          <w:lang w:val="en-US"/>
        </w:rPr>
        <w:t>PAPARINSKI</w:t>
      </w:r>
      <w:r>
        <w:rPr>
          <w:rFonts w:ascii="Verdana" w:hAnsi="Verdana" w:cs="Times New Roman"/>
          <w:sz w:val="18"/>
          <w:szCs w:val="18"/>
          <w:lang w:val="en-US"/>
        </w:rPr>
        <w:t>S, M.</w:t>
      </w:r>
      <w:r w:rsidRPr="003700E8">
        <w:rPr>
          <w:rFonts w:ascii="Verdana" w:hAnsi="Verdana" w:cs="Times New Roman"/>
          <w:sz w:val="18"/>
          <w:szCs w:val="18"/>
          <w:lang w:val="en-US"/>
        </w:rPr>
        <w:t xml:space="preserve"> </w:t>
      </w:r>
      <w:r w:rsidRPr="003700E8">
        <w:rPr>
          <w:rFonts w:ascii="Verdana" w:hAnsi="Verdana" w:cs="Times New Roman"/>
          <w:i/>
          <w:sz w:val="18"/>
          <w:szCs w:val="18"/>
          <w:lang w:val="en-US"/>
        </w:rPr>
        <w:t>The International Minimum Standard and Fair and Equitable Treatment</w:t>
      </w:r>
      <w:r w:rsidRPr="003700E8">
        <w:rPr>
          <w:rFonts w:ascii="Verdana" w:hAnsi="Verdana" w:cs="Times New Roman"/>
          <w:sz w:val="18"/>
          <w:szCs w:val="18"/>
          <w:lang w:val="en-US"/>
        </w:rPr>
        <w:t>, Oxford University Press, Oxford, 2013, pp. 39-83.</w:t>
      </w:r>
    </w:p>
  </w:footnote>
  <w:footnote w:id="11">
    <w:p w:rsidR="006E10EA" w:rsidRPr="00015EB7" w:rsidRDefault="006E10EA" w:rsidP="00324185">
      <w:pPr>
        <w:pStyle w:val="Textonotapie"/>
        <w:rPr>
          <w:rFonts w:ascii="Times New Roman" w:hAnsi="Times New Roman" w:cs="Times New Roman"/>
        </w:rPr>
      </w:pPr>
      <w:r w:rsidRPr="003700E8">
        <w:rPr>
          <w:rStyle w:val="Refdenotaalpie"/>
          <w:rFonts w:ascii="Verdana" w:hAnsi="Verdana" w:cs="Times New Roman"/>
          <w:sz w:val="18"/>
          <w:szCs w:val="18"/>
        </w:rPr>
        <w:footnoteRef/>
      </w:r>
      <w:r>
        <w:rPr>
          <w:rFonts w:ascii="Verdana" w:hAnsi="Verdana" w:cs="Times New Roman"/>
          <w:sz w:val="18"/>
          <w:szCs w:val="18"/>
          <w:lang w:val="en-US"/>
        </w:rPr>
        <w:t xml:space="preserve"> </w:t>
      </w:r>
      <w:r w:rsidRPr="000076BC">
        <w:rPr>
          <w:rFonts w:ascii="Verdana" w:hAnsi="Verdana" w:cs="Times New Roman"/>
          <w:sz w:val="18"/>
          <w:szCs w:val="18"/>
          <w:lang w:val="en-US"/>
        </w:rPr>
        <w:t>YANNA</w:t>
      </w:r>
      <w:r>
        <w:rPr>
          <w:rFonts w:ascii="Verdana" w:hAnsi="Verdana" w:cs="Times New Roman"/>
          <w:sz w:val="18"/>
          <w:szCs w:val="18"/>
          <w:lang w:val="en-US"/>
        </w:rPr>
        <w:t>CA-SMALL, K.</w:t>
      </w:r>
      <w:r w:rsidRPr="003700E8">
        <w:rPr>
          <w:rFonts w:ascii="Verdana" w:hAnsi="Verdana" w:cs="Times New Roman"/>
          <w:sz w:val="18"/>
          <w:szCs w:val="18"/>
          <w:lang w:val="en-US"/>
        </w:rPr>
        <w:t xml:space="preserve"> “Fair and Equitable Treatment Standard: Recent Deve</w:t>
      </w:r>
      <w:r>
        <w:rPr>
          <w:rFonts w:ascii="Verdana" w:hAnsi="Verdana" w:cs="Times New Roman"/>
          <w:sz w:val="18"/>
          <w:szCs w:val="18"/>
          <w:lang w:val="en-US"/>
        </w:rPr>
        <w:t>lopments”, in REINISCH, A. (Ed).</w:t>
      </w:r>
      <w:r w:rsidRPr="003700E8">
        <w:rPr>
          <w:rFonts w:ascii="Verdana" w:hAnsi="Verdana" w:cs="Times New Roman"/>
          <w:sz w:val="18"/>
          <w:szCs w:val="18"/>
          <w:lang w:val="en-US"/>
        </w:rPr>
        <w:t xml:space="preserve"> </w:t>
      </w:r>
      <w:r w:rsidRPr="003700E8">
        <w:rPr>
          <w:rFonts w:ascii="Verdana" w:hAnsi="Verdana" w:cs="Times New Roman"/>
          <w:i/>
          <w:sz w:val="18"/>
          <w:szCs w:val="18"/>
          <w:lang w:val="en-US"/>
        </w:rPr>
        <w:t>Standards of Investment Protection</w:t>
      </w:r>
      <w:r w:rsidRPr="003700E8">
        <w:rPr>
          <w:rFonts w:ascii="Verdana" w:hAnsi="Verdana" w:cs="Times New Roman"/>
          <w:sz w:val="18"/>
          <w:szCs w:val="18"/>
          <w:lang w:val="en-US"/>
        </w:rPr>
        <w:t xml:space="preserve">. </w:t>
      </w:r>
      <w:r w:rsidRPr="003700E8">
        <w:rPr>
          <w:rFonts w:ascii="Verdana" w:hAnsi="Verdana" w:cs="Times New Roman"/>
          <w:sz w:val="18"/>
          <w:szCs w:val="18"/>
        </w:rPr>
        <w:t>Oxford: Oxford University Press, 2008, pp. 121-122.</w:t>
      </w:r>
    </w:p>
  </w:footnote>
  <w:footnote w:id="12">
    <w:p w:rsidR="006E10EA" w:rsidRPr="0044757C" w:rsidRDefault="006E10EA">
      <w:pPr>
        <w:pStyle w:val="Textonotapie"/>
        <w:rPr>
          <w:rFonts w:ascii="Verdana" w:hAnsi="Verdana" w:cs="Times New Roman"/>
          <w:sz w:val="18"/>
          <w:szCs w:val="18"/>
          <w:lang w:val="en-US"/>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Véase, el caso </w:t>
      </w:r>
      <w:r w:rsidRPr="009B1442">
        <w:rPr>
          <w:rFonts w:ascii="Verdana" w:hAnsi="Verdana" w:cs="Times New Roman"/>
          <w:i/>
          <w:sz w:val="18"/>
          <w:szCs w:val="18"/>
        </w:rPr>
        <w:t>Metalclad Corporation vs. Estados Unidos México</w:t>
      </w:r>
      <w:r w:rsidRPr="009B1442">
        <w:rPr>
          <w:rFonts w:ascii="Verdana" w:hAnsi="Verdana" w:cs="Times New Roman"/>
          <w:sz w:val="18"/>
          <w:szCs w:val="18"/>
        </w:rPr>
        <w:t xml:space="preserve">, Caso No. </w:t>
      </w:r>
      <w:r w:rsidRPr="009B1442">
        <w:rPr>
          <w:rFonts w:ascii="Verdana" w:hAnsi="Verdana" w:cs="Times New Roman"/>
          <w:sz w:val="18"/>
          <w:szCs w:val="18"/>
          <w:lang w:val="en-US"/>
        </w:rPr>
        <w:t>ARB (AF)/97/1, 2000, Laudo</w:t>
      </w:r>
      <w:r w:rsidRPr="0044757C">
        <w:rPr>
          <w:rFonts w:ascii="Verdana" w:hAnsi="Verdana" w:cs="Times New Roman"/>
          <w:sz w:val="18"/>
          <w:szCs w:val="18"/>
          <w:lang w:val="en-US"/>
        </w:rPr>
        <w:t>, paragraph. 75-76.</w:t>
      </w:r>
      <w:r w:rsidRPr="0044757C">
        <w:rPr>
          <w:rFonts w:ascii="Verdana" w:hAnsi="Verdana"/>
          <w:sz w:val="18"/>
          <w:szCs w:val="18"/>
          <w:lang w:val="en-US"/>
        </w:rPr>
        <w:t xml:space="preserve"> </w:t>
      </w:r>
    </w:p>
  </w:footnote>
  <w:footnote w:id="13">
    <w:p w:rsidR="006E10EA" w:rsidRPr="0044757C" w:rsidRDefault="006E10EA" w:rsidP="00DA664F">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0076BC">
        <w:rPr>
          <w:rFonts w:ascii="Verdana" w:hAnsi="Verdana" w:cs="Times New Roman"/>
          <w:sz w:val="18"/>
          <w:szCs w:val="18"/>
        </w:rPr>
        <w:t>BERNAS</w:t>
      </w:r>
      <w:r w:rsidRPr="0044757C">
        <w:rPr>
          <w:rFonts w:ascii="Verdana" w:hAnsi="Verdana" w:cs="Times New Roman"/>
          <w:sz w:val="18"/>
          <w:szCs w:val="18"/>
        </w:rPr>
        <w:t>CONI-OSTE</w:t>
      </w:r>
      <w:r>
        <w:rPr>
          <w:rFonts w:ascii="Verdana" w:hAnsi="Verdana" w:cs="Times New Roman"/>
          <w:sz w:val="18"/>
          <w:szCs w:val="18"/>
        </w:rPr>
        <w:t>RWALDER, N., JOHNSON, L. (Eds.).</w:t>
      </w:r>
      <w:r w:rsidRPr="0044757C">
        <w:rPr>
          <w:rFonts w:ascii="Verdana" w:hAnsi="Verdana" w:cs="Times New Roman"/>
          <w:sz w:val="18"/>
          <w:szCs w:val="18"/>
        </w:rPr>
        <w:t xml:space="preserve"> </w:t>
      </w:r>
      <w:r w:rsidRPr="0044757C">
        <w:rPr>
          <w:rFonts w:ascii="Verdana" w:hAnsi="Verdana" w:cs="Times New Roman"/>
          <w:i/>
          <w:sz w:val="18"/>
          <w:szCs w:val="18"/>
        </w:rPr>
        <w:t>International Investment Law and Sustainable Development Key Cases from 2000-2010</w:t>
      </w:r>
      <w:r w:rsidRPr="0044757C">
        <w:rPr>
          <w:rFonts w:ascii="Verdana" w:hAnsi="Verdana" w:cs="Times New Roman"/>
          <w:sz w:val="18"/>
          <w:szCs w:val="18"/>
        </w:rPr>
        <w:t>, Winnepeg: International Institute for Sustainable Development, 2011, p. 75.</w:t>
      </w:r>
    </w:p>
  </w:footnote>
  <w:footnote w:id="14">
    <w:p w:rsidR="006E10EA" w:rsidRPr="00C36C8E" w:rsidRDefault="006E10EA">
      <w:pPr>
        <w:pStyle w:val="Textonotapie"/>
        <w:rPr>
          <w:rFonts w:ascii="Times New Roman" w:hAnsi="Times New Roman" w:cs="Times New Roman"/>
          <w:lang w:val="en-US"/>
        </w:rPr>
      </w:pPr>
      <w:r w:rsidRPr="0044757C">
        <w:rPr>
          <w:rStyle w:val="Refdenotaalpie"/>
          <w:rFonts w:ascii="Verdana" w:hAnsi="Verdana" w:cs="Times New Roman"/>
          <w:sz w:val="18"/>
          <w:szCs w:val="18"/>
        </w:rPr>
        <w:footnoteRef/>
      </w:r>
      <w:r>
        <w:rPr>
          <w:rFonts w:ascii="Verdana" w:hAnsi="Verdana" w:cs="Times New Roman"/>
          <w:sz w:val="18"/>
          <w:szCs w:val="18"/>
          <w:lang w:val="en-US"/>
        </w:rPr>
        <w:t xml:space="preserve"> </w:t>
      </w:r>
      <w:r w:rsidRPr="000076BC">
        <w:rPr>
          <w:rFonts w:ascii="Verdana" w:hAnsi="Verdana" w:cs="Times New Roman"/>
          <w:sz w:val="18"/>
          <w:szCs w:val="18"/>
          <w:lang w:val="en-US"/>
        </w:rPr>
        <w:t>DUSSA</w:t>
      </w:r>
      <w:r>
        <w:rPr>
          <w:rFonts w:ascii="Verdana" w:hAnsi="Verdana" w:cs="Times New Roman"/>
          <w:sz w:val="18"/>
          <w:szCs w:val="18"/>
          <w:lang w:val="en-US"/>
        </w:rPr>
        <w:t>N LAVERDE, S.</w:t>
      </w:r>
      <w:r w:rsidRPr="0044757C">
        <w:rPr>
          <w:rFonts w:ascii="Verdana" w:hAnsi="Verdana" w:cs="Times New Roman"/>
          <w:sz w:val="18"/>
          <w:szCs w:val="18"/>
          <w:lang w:val="en-US"/>
        </w:rPr>
        <w:t xml:space="preserve"> “Analysis of the Principle of Transparency with Special Reference to Its Implications for the Procedure of International Investment Arbitration”, </w:t>
      </w:r>
      <w:r w:rsidRPr="0044757C">
        <w:rPr>
          <w:rFonts w:ascii="Verdana" w:hAnsi="Verdana" w:cs="Times New Roman"/>
          <w:i/>
          <w:sz w:val="18"/>
          <w:szCs w:val="18"/>
          <w:lang w:val="en-US"/>
        </w:rPr>
        <w:t>Criterio Jurídico</w:t>
      </w:r>
      <w:r w:rsidRPr="0044757C">
        <w:rPr>
          <w:rFonts w:ascii="Verdana" w:hAnsi="Verdana" w:cs="Times New Roman"/>
          <w:sz w:val="18"/>
          <w:szCs w:val="18"/>
          <w:lang w:val="en-US"/>
        </w:rPr>
        <w:t>, Vol. 11, No. 1, 2011, p. 118.</w:t>
      </w:r>
    </w:p>
  </w:footnote>
  <w:footnote w:id="15">
    <w:p w:rsidR="006E10EA" w:rsidRPr="0044757C" w:rsidRDefault="006E10EA" w:rsidP="00754A61">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Artículo 28(3) del </w:t>
      </w:r>
      <w:r w:rsidRPr="000076BC">
        <w:rPr>
          <w:rFonts w:ascii="Verdana" w:hAnsi="Verdana" w:cs="Times New Roman"/>
          <w:sz w:val="18"/>
          <w:szCs w:val="18"/>
        </w:rPr>
        <w:t>Reglamento de Arbitraje de la CNUDMI del año 2013</w:t>
      </w:r>
      <w:r w:rsidRPr="0044757C">
        <w:rPr>
          <w:rFonts w:ascii="Verdana" w:hAnsi="Verdana" w:cs="Times New Roman"/>
          <w:sz w:val="18"/>
          <w:szCs w:val="18"/>
        </w:rPr>
        <w:t>.</w:t>
      </w:r>
    </w:p>
  </w:footnote>
  <w:footnote w:id="16">
    <w:p w:rsidR="006E10EA" w:rsidRPr="003700E8" w:rsidRDefault="006E10EA" w:rsidP="00754A61">
      <w:pPr>
        <w:pStyle w:val="Textonotapie"/>
        <w:rPr>
          <w:rFonts w:ascii="Verdana" w:hAnsi="Verdana"/>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Regla 39(2) del Reglamento del Mecanismo Complementario del CIADI. </w:t>
      </w:r>
    </w:p>
  </w:footnote>
  <w:footnote w:id="17">
    <w:p w:rsidR="006E10EA" w:rsidRPr="003700E8" w:rsidRDefault="006E10EA" w:rsidP="00392BC2">
      <w:pPr>
        <w:pStyle w:val="Textonotapie"/>
        <w:rPr>
          <w:rFonts w:ascii="Verdana" w:hAnsi="Verdana" w:cs="Times New Roman"/>
          <w:i/>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 Regla 37(2) del Reglamento de Arbitraje del CIADI.</w:t>
      </w:r>
      <w:r w:rsidRPr="003700E8">
        <w:rPr>
          <w:rFonts w:ascii="Verdana" w:hAnsi="Verdana" w:cs="Times New Roman"/>
          <w:i/>
          <w:sz w:val="18"/>
          <w:szCs w:val="18"/>
        </w:rPr>
        <w:t xml:space="preserve"> </w:t>
      </w:r>
    </w:p>
  </w:footnote>
  <w:footnote w:id="18">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La Regla 48(4) del Reglamento de Arbitraje del CIADI establece; “</w:t>
      </w:r>
      <w:r w:rsidRPr="003700E8">
        <w:rPr>
          <w:rFonts w:ascii="Verdana" w:hAnsi="Verdana" w:cs="Times New Roman"/>
          <w:i/>
          <w:sz w:val="18"/>
          <w:szCs w:val="18"/>
        </w:rPr>
        <w:t>El Centro no publicará el laudo sin el consentimiento de las partes. Sin embargo, el Centro deberá incluir prontamente en sus publicaciones extractos del razonamiento jurídico del Tribunal</w:t>
      </w:r>
      <w:r w:rsidRPr="003700E8">
        <w:rPr>
          <w:rFonts w:ascii="Verdana" w:hAnsi="Verdana" w:cs="Times New Roman"/>
          <w:sz w:val="18"/>
          <w:szCs w:val="18"/>
        </w:rPr>
        <w:t xml:space="preserve">”. Véase,  </w:t>
      </w:r>
      <w:hyperlink r:id="rId4" w:anchor="r48" w:history="1">
        <w:r w:rsidRPr="003700E8">
          <w:rPr>
            <w:rStyle w:val="Hipervnculo"/>
            <w:rFonts w:ascii="Verdana" w:hAnsi="Verdana" w:cs="Times New Roman"/>
            <w:sz w:val="18"/>
            <w:szCs w:val="18"/>
          </w:rPr>
          <w:t>http://icsidfiles.worldbank.org/icsid/icsid/staticfiles/basicdoc-spa/partF-chap06.htm#r48</w:t>
        </w:r>
      </w:hyperlink>
      <w:r w:rsidRPr="003700E8">
        <w:rPr>
          <w:rFonts w:ascii="Verdana" w:hAnsi="Verdana" w:cs="Times New Roman"/>
          <w:sz w:val="18"/>
          <w:szCs w:val="18"/>
        </w:rPr>
        <w:t xml:space="preserve">; también, University of Wisconsin Legal Studies Research Paper No. 1151. Disponible en: </w:t>
      </w:r>
      <w:hyperlink r:id="rId5" w:history="1">
        <w:r w:rsidRPr="003700E8">
          <w:rPr>
            <w:rStyle w:val="Hipervnculo"/>
            <w:rFonts w:ascii="Verdana" w:hAnsi="Verdana" w:cs="Times New Roman"/>
            <w:sz w:val="18"/>
            <w:szCs w:val="18"/>
          </w:rPr>
          <w:t>http://ssrn.com/abstract=1739174</w:t>
        </w:r>
      </w:hyperlink>
      <w:r w:rsidRPr="003700E8">
        <w:rPr>
          <w:rFonts w:ascii="Verdana" w:hAnsi="Verdana" w:cs="Times New Roman"/>
          <w:sz w:val="18"/>
          <w:szCs w:val="18"/>
        </w:rPr>
        <w:t>, co</w:t>
      </w:r>
      <w:r>
        <w:rPr>
          <w:rFonts w:ascii="Verdana" w:hAnsi="Verdana" w:cs="Times New Roman"/>
          <w:sz w:val="18"/>
          <w:szCs w:val="18"/>
        </w:rPr>
        <w:t>nsultados ambos sitios web el 14/05</w:t>
      </w:r>
      <w:r w:rsidRPr="003700E8">
        <w:rPr>
          <w:rFonts w:ascii="Verdana" w:hAnsi="Verdana" w:cs="Times New Roman"/>
          <w:sz w:val="18"/>
          <w:szCs w:val="18"/>
        </w:rPr>
        <w:t>/2019.</w:t>
      </w:r>
    </w:p>
  </w:footnote>
  <w:footnote w:id="19">
    <w:p w:rsidR="006E10EA" w:rsidRPr="008F2048" w:rsidRDefault="006E10EA">
      <w:pPr>
        <w:pStyle w:val="Textonotapie"/>
        <w:rPr>
          <w:rFonts w:ascii="Times New Roman" w:hAnsi="Times New Roman" w:cs="Times New Roman"/>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MAUPIN, J.A.: “Transparency in International Investment Law”. </w:t>
      </w:r>
      <w:r w:rsidRPr="003700E8">
        <w:rPr>
          <w:rFonts w:ascii="Verdana" w:hAnsi="Verdana" w:cs="Times New Roman"/>
          <w:sz w:val="18"/>
          <w:szCs w:val="18"/>
        </w:rPr>
        <w:t xml:space="preserve">Disponible en: </w:t>
      </w:r>
      <w:hyperlink r:id="rId6" w:history="1">
        <w:r w:rsidRPr="003700E8">
          <w:rPr>
            <w:rStyle w:val="Hipervnculo"/>
            <w:rFonts w:ascii="Verdana" w:hAnsi="Verdana" w:cs="Times New Roman"/>
            <w:sz w:val="18"/>
            <w:szCs w:val="18"/>
          </w:rPr>
          <w:t>http://scholarship.law.duke.edu/do/search/?q=Maupin%20Transparency&amp;start=0&amp;context=1022222</w:t>
        </w:r>
      </w:hyperlink>
      <w:r>
        <w:rPr>
          <w:rFonts w:ascii="Verdana" w:hAnsi="Verdana" w:cs="Times New Roman"/>
          <w:sz w:val="18"/>
          <w:szCs w:val="18"/>
        </w:rPr>
        <w:t>, consultado el 14</w:t>
      </w:r>
      <w:r w:rsidRPr="003700E8">
        <w:rPr>
          <w:rFonts w:ascii="Verdana" w:hAnsi="Verdana" w:cs="Times New Roman"/>
          <w:sz w:val="18"/>
          <w:szCs w:val="18"/>
        </w:rPr>
        <w:t>/0</w:t>
      </w:r>
      <w:r>
        <w:rPr>
          <w:rFonts w:ascii="Verdana" w:hAnsi="Verdana" w:cs="Times New Roman"/>
          <w:sz w:val="18"/>
          <w:szCs w:val="18"/>
        </w:rPr>
        <w:t>5</w:t>
      </w:r>
      <w:r w:rsidRPr="003700E8">
        <w:rPr>
          <w:rFonts w:ascii="Verdana" w:hAnsi="Verdana" w:cs="Times New Roman"/>
          <w:sz w:val="18"/>
          <w:szCs w:val="18"/>
        </w:rPr>
        <w:t>/2019.</w:t>
      </w:r>
      <w:r w:rsidRPr="008F2048">
        <w:rPr>
          <w:rFonts w:ascii="Times New Roman" w:hAnsi="Times New Roman" w:cs="Times New Roman"/>
        </w:rPr>
        <w:t xml:space="preserve"> </w:t>
      </w:r>
    </w:p>
  </w:footnote>
  <w:footnote w:id="20">
    <w:p w:rsidR="006E10EA" w:rsidRPr="003700E8" w:rsidRDefault="006E10EA" w:rsidP="007D11E8">
      <w:pPr>
        <w:pStyle w:val="Textonotapie"/>
        <w:rPr>
          <w:rFonts w:ascii="Verdana" w:hAnsi="Verdana" w:cs="Times New Roman"/>
          <w:sz w:val="18"/>
          <w:szCs w:val="18"/>
          <w:lang w:val="en-US"/>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Véase el caso, </w:t>
      </w:r>
      <w:r w:rsidRPr="00D03373">
        <w:rPr>
          <w:rFonts w:ascii="Verdana" w:hAnsi="Verdana" w:cs="Times New Roman"/>
          <w:i/>
          <w:sz w:val="18"/>
          <w:szCs w:val="18"/>
          <w:lang w:val="en-US"/>
        </w:rPr>
        <w:t>Biwater Gauff Ltd. vs. United Republic of Tanzania</w:t>
      </w:r>
      <w:r w:rsidRPr="00D03373">
        <w:rPr>
          <w:rFonts w:ascii="Verdana" w:hAnsi="Verdana" w:cs="Times New Roman"/>
          <w:sz w:val="18"/>
          <w:szCs w:val="18"/>
          <w:lang w:val="en-US"/>
        </w:rPr>
        <w:t xml:space="preserve">, ICSID Case No. </w:t>
      </w:r>
      <w:r w:rsidRPr="00D03373">
        <w:rPr>
          <w:rFonts w:ascii="Verdana" w:hAnsi="Verdana" w:cs="Times New Roman"/>
          <w:sz w:val="18"/>
          <w:szCs w:val="18"/>
        </w:rPr>
        <w:t>ARB/05/22, Procedural Order No. 5</w:t>
      </w:r>
      <w:r w:rsidRPr="003700E8">
        <w:rPr>
          <w:rFonts w:ascii="Verdana" w:hAnsi="Verdana" w:cs="Times New Roman"/>
          <w:sz w:val="18"/>
          <w:szCs w:val="18"/>
        </w:rPr>
        <w:t xml:space="preserve">, párrafs. 46 y 68-72, 2007. Disponible en: </w:t>
      </w:r>
      <w:hyperlink r:id="rId7" w:history="1">
        <w:r w:rsidRPr="003700E8">
          <w:rPr>
            <w:rStyle w:val="Hipervnculo"/>
            <w:rFonts w:ascii="Verdana" w:hAnsi="Verdana" w:cs="Times New Roman"/>
            <w:sz w:val="18"/>
            <w:szCs w:val="18"/>
          </w:rPr>
          <w:t>https://www.italaw.com/sites/default/files/case-documents/ita0091_0.pdf</w:t>
        </w:r>
      </w:hyperlink>
      <w:r>
        <w:rPr>
          <w:rFonts w:ascii="Verdana" w:hAnsi="Verdana" w:cs="Times New Roman"/>
          <w:sz w:val="18"/>
          <w:szCs w:val="18"/>
        </w:rPr>
        <w:t>, consultado 14/05</w:t>
      </w:r>
      <w:r w:rsidRPr="003700E8">
        <w:rPr>
          <w:rFonts w:ascii="Verdana" w:hAnsi="Verdana" w:cs="Times New Roman"/>
          <w:sz w:val="18"/>
          <w:szCs w:val="18"/>
        </w:rPr>
        <w:t xml:space="preserve">/2019. En este caso el Tribunal tuvo que determinar si las reglas recién enmendadas del CIADI no solo permitían la presentación de </w:t>
      </w:r>
      <w:r w:rsidRPr="003700E8">
        <w:rPr>
          <w:rFonts w:ascii="Verdana" w:hAnsi="Verdana" w:cs="Times New Roman"/>
          <w:i/>
          <w:sz w:val="18"/>
          <w:szCs w:val="18"/>
        </w:rPr>
        <w:t>amicus curiae</w:t>
      </w:r>
      <w:r w:rsidRPr="003700E8">
        <w:rPr>
          <w:rFonts w:ascii="Verdana" w:hAnsi="Verdana" w:cs="Times New Roman"/>
          <w:sz w:val="18"/>
          <w:szCs w:val="18"/>
        </w:rPr>
        <w:t xml:space="preserve">, sino también si permitían a los </w:t>
      </w:r>
      <w:r w:rsidRPr="003700E8">
        <w:rPr>
          <w:rFonts w:ascii="Verdana" w:hAnsi="Verdana" w:cs="Times New Roman"/>
          <w:i/>
          <w:sz w:val="18"/>
          <w:szCs w:val="18"/>
        </w:rPr>
        <w:t>amicus</w:t>
      </w:r>
      <w:r w:rsidRPr="003700E8">
        <w:rPr>
          <w:rFonts w:ascii="Verdana" w:hAnsi="Verdana" w:cs="Times New Roman"/>
          <w:sz w:val="18"/>
          <w:szCs w:val="18"/>
        </w:rPr>
        <w:t xml:space="preserve"> presentar argumentos orales ante el tribunal. Finalmente, el tribunal aceptó las presentaciones de </w:t>
      </w:r>
      <w:r w:rsidRPr="003700E8">
        <w:rPr>
          <w:rFonts w:ascii="Verdana" w:hAnsi="Verdana" w:cs="Times New Roman"/>
          <w:i/>
          <w:sz w:val="18"/>
          <w:szCs w:val="18"/>
        </w:rPr>
        <w:t>amicus curiae</w:t>
      </w:r>
      <w:r w:rsidRPr="003700E8">
        <w:rPr>
          <w:rFonts w:ascii="Verdana" w:hAnsi="Verdana" w:cs="Times New Roman"/>
          <w:sz w:val="18"/>
          <w:szCs w:val="18"/>
        </w:rPr>
        <w:t>, pero les negó el acceso a las audiencias porque el demandante (</w:t>
      </w:r>
      <w:r w:rsidRPr="003700E8">
        <w:rPr>
          <w:rFonts w:ascii="Verdana" w:hAnsi="Verdana" w:cs="Times New Roman"/>
          <w:i/>
          <w:sz w:val="18"/>
          <w:szCs w:val="18"/>
        </w:rPr>
        <w:t>Biwater Gauff</w:t>
      </w:r>
      <w:r w:rsidRPr="003700E8">
        <w:rPr>
          <w:rFonts w:ascii="Verdana" w:hAnsi="Verdana" w:cs="Times New Roman"/>
          <w:sz w:val="18"/>
          <w:szCs w:val="18"/>
        </w:rPr>
        <w:t>) se opuso a ellos. El tribunal no reveló los documentos presentados en el proceso, pero especificó que le corresponde al tribunal lograr un equilibrio entre transparencia y confidencialidad. El caso referenciado es un fiel ejemplo de la relación existente entre la divulgación, la apertura de audiencias y la participación de amicus curiae en el proceso de resolución de disputas inversionista-Estado. En este sentido, véase ta</w:t>
      </w:r>
      <w:r>
        <w:rPr>
          <w:rFonts w:ascii="Verdana" w:hAnsi="Verdana" w:cs="Times New Roman"/>
          <w:sz w:val="18"/>
          <w:szCs w:val="18"/>
        </w:rPr>
        <w:t xml:space="preserve">mbién; </w:t>
      </w:r>
      <w:r w:rsidRPr="00A51153">
        <w:rPr>
          <w:rFonts w:ascii="Verdana" w:hAnsi="Verdana" w:cs="Times New Roman"/>
          <w:sz w:val="18"/>
          <w:szCs w:val="18"/>
        </w:rPr>
        <w:t xml:space="preserve">GRISEL, F., VINUALES, J. “L´Amicus Curiae dans l´arbitrage d´ investissement”, </w:t>
      </w:r>
      <w:r w:rsidRPr="00A51153">
        <w:rPr>
          <w:rFonts w:ascii="Verdana" w:hAnsi="Verdana" w:cs="Times New Roman"/>
          <w:i/>
          <w:sz w:val="18"/>
          <w:szCs w:val="18"/>
        </w:rPr>
        <w:t>ICSID Rev.</w:t>
      </w:r>
      <w:r w:rsidRPr="00A51153">
        <w:rPr>
          <w:rFonts w:ascii="Verdana" w:hAnsi="Verdana" w:cs="Times New Roman"/>
          <w:sz w:val="18"/>
          <w:szCs w:val="18"/>
        </w:rPr>
        <w:t>, Vol. 23, 2007</w:t>
      </w:r>
      <w:r>
        <w:rPr>
          <w:rFonts w:ascii="Verdana" w:hAnsi="Verdana" w:cs="Times New Roman"/>
          <w:sz w:val="18"/>
          <w:szCs w:val="18"/>
        </w:rPr>
        <w:t>, pp. 380, 396-407;</w:t>
      </w:r>
      <w:r w:rsidRPr="003700E8">
        <w:rPr>
          <w:rFonts w:ascii="Verdana" w:hAnsi="Verdana" w:cs="Times New Roman"/>
          <w:sz w:val="18"/>
          <w:szCs w:val="18"/>
        </w:rPr>
        <w:t xml:space="preserve"> </w:t>
      </w:r>
      <w:r w:rsidRPr="00A51153">
        <w:rPr>
          <w:rFonts w:ascii="Verdana" w:hAnsi="Verdana" w:cs="Times New Roman"/>
          <w:sz w:val="18"/>
          <w:szCs w:val="18"/>
          <w:lang w:val="en-US"/>
        </w:rPr>
        <w:t xml:space="preserve">ISHIKAWA T. “Third Party Participation in Investment Treaty Arbitration”, </w:t>
      </w:r>
      <w:r w:rsidRPr="00A51153">
        <w:rPr>
          <w:rFonts w:ascii="Verdana" w:hAnsi="Verdana" w:cs="Times New Roman"/>
          <w:i/>
          <w:sz w:val="18"/>
          <w:szCs w:val="18"/>
          <w:lang w:val="en-US"/>
        </w:rPr>
        <w:t>International and Comparative Law Quarterly</w:t>
      </w:r>
      <w:r w:rsidRPr="00A51153">
        <w:rPr>
          <w:rFonts w:ascii="Verdana" w:hAnsi="Verdana" w:cs="Times New Roman"/>
          <w:sz w:val="18"/>
          <w:szCs w:val="18"/>
          <w:lang w:val="en-US"/>
        </w:rPr>
        <w:t>, Vol. 59, No. 2, 2010</w:t>
      </w:r>
      <w:r>
        <w:rPr>
          <w:rFonts w:ascii="Verdana" w:hAnsi="Verdana" w:cs="Times New Roman"/>
          <w:sz w:val="18"/>
          <w:szCs w:val="18"/>
          <w:lang w:val="en-US"/>
        </w:rPr>
        <w:t xml:space="preserve">, pp. 373-412; </w:t>
      </w:r>
      <w:r w:rsidRPr="00A51153">
        <w:rPr>
          <w:rFonts w:ascii="Verdana" w:hAnsi="Verdana" w:cs="Times New Roman"/>
          <w:sz w:val="18"/>
          <w:szCs w:val="18"/>
          <w:lang w:val="en-US"/>
        </w:rPr>
        <w:t xml:space="preserve">TRIANTAFILOU E.E. “Amicus Submissions in Investor-State Arbitration After Suez v. Argentina”, </w:t>
      </w:r>
      <w:r w:rsidRPr="00A51153">
        <w:rPr>
          <w:rFonts w:ascii="Verdana" w:hAnsi="Verdana" w:cs="Times New Roman"/>
          <w:i/>
          <w:sz w:val="18"/>
          <w:szCs w:val="18"/>
          <w:lang w:val="en-US"/>
        </w:rPr>
        <w:t>Arbitration International Law</w:t>
      </w:r>
      <w:r w:rsidRPr="00A51153">
        <w:rPr>
          <w:rFonts w:ascii="Verdana" w:hAnsi="Verdana" w:cs="Times New Roman"/>
          <w:sz w:val="18"/>
          <w:szCs w:val="18"/>
          <w:lang w:val="en-US"/>
        </w:rPr>
        <w:t>, Vol. 24, 2008</w:t>
      </w:r>
      <w:r>
        <w:rPr>
          <w:rFonts w:ascii="Verdana" w:hAnsi="Verdana" w:cs="Times New Roman"/>
          <w:sz w:val="18"/>
          <w:szCs w:val="18"/>
          <w:lang w:val="en-US"/>
        </w:rPr>
        <w:t xml:space="preserve">, p. 571. </w:t>
      </w:r>
      <w:r w:rsidRPr="00CE6081">
        <w:rPr>
          <w:rFonts w:ascii="Verdana" w:hAnsi="Verdana" w:cs="Times New Roman"/>
          <w:sz w:val="18"/>
          <w:szCs w:val="18"/>
          <w:lang w:val="en-US"/>
        </w:rPr>
        <w:t xml:space="preserve">VINUALES J. “Amicus Intervention in Investment Arbitration”, </w:t>
      </w:r>
      <w:r w:rsidRPr="00CE6081">
        <w:rPr>
          <w:rFonts w:ascii="Verdana" w:hAnsi="Verdana" w:cs="Times New Roman"/>
          <w:i/>
          <w:sz w:val="18"/>
          <w:szCs w:val="18"/>
          <w:lang w:val="en-US"/>
        </w:rPr>
        <w:t>Dispute Resolution Journal</w:t>
      </w:r>
      <w:r w:rsidRPr="00CE6081">
        <w:rPr>
          <w:rFonts w:ascii="Verdana" w:hAnsi="Verdana" w:cs="Times New Roman"/>
          <w:sz w:val="18"/>
          <w:szCs w:val="18"/>
          <w:lang w:val="en-US"/>
        </w:rPr>
        <w:t>, Vol 61, No. 4, 2007</w:t>
      </w:r>
      <w:r w:rsidRPr="003700E8">
        <w:rPr>
          <w:rFonts w:ascii="Verdana" w:hAnsi="Verdana" w:cs="Times New Roman"/>
          <w:sz w:val="18"/>
          <w:szCs w:val="18"/>
          <w:lang w:val="en-US"/>
        </w:rPr>
        <w:t>, p. 72.</w:t>
      </w:r>
    </w:p>
  </w:footnote>
  <w:footnote w:id="21">
    <w:p w:rsidR="006E10EA" w:rsidRPr="003700E8" w:rsidRDefault="006E10EA" w:rsidP="00316CCC">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 el caso, </w:t>
      </w:r>
      <w:r w:rsidRPr="00FA0884">
        <w:rPr>
          <w:rFonts w:ascii="Verdana" w:hAnsi="Verdana" w:cs="Times New Roman"/>
          <w:i/>
          <w:sz w:val="18"/>
          <w:szCs w:val="18"/>
        </w:rPr>
        <w:t>Telefónica S.A. vs. United Mexican States</w:t>
      </w:r>
      <w:r w:rsidRPr="00FA0884">
        <w:rPr>
          <w:rFonts w:ascii="Verdana" w:hAnsi="Verdana" w:cs="Times New Roman"/>
          <w:sz w:val="18"/>
          <w:szCs w:val="18"/>
        </w:rPr>
        <w:t>, ICSID Case No. ARB(AF)/12/4, Procedural Order No. 1, 2013</w:t>
      </w:r>
      <w:r w:rsidRPr="003700E8">
        <w:rPr>
          <w:rFonts w:ascii="Verdana" w:hAnsi="Verdana" w:cs="Times New Roman"/>
          <w:sz w:val="18"/>
          <w:szCs w:val="18"/>
        </w:rPr>
        <w:t xml:space="preserve">, pp. 16-23. Disponible en: </w:t>
      </w:r>
      <w:hyperlink r:id="rId8" w:history="1">
        <w:r w:rsidRPr="003700E8">
          <w:rPr>
            <w:rStyle w:val="Hipervnculo"/>
            <w:rFonts w:ascii="Verdana" w:hAnsi="Verdana" w:cs="Times New Roman"/>
            <w:sz w:val="18"/>
            <w:szCs w:val="18"/>
          </w:rPr>
          <w:t>http://www.italaw.com/sites/default/files/case-documents/italaw1597.pdf</w:t>
        </w:r>
      </w:hyperlink>
      <w:r>
        <w:rPr>
          <w:rFonts w:ascii="Verdana" w:hAnsi="Verdana" w:cs="Times New Roman"/>
          <w:sz w:val="18"/>
          <w:szCs w:val="18"/>
        </w:rPr>
        <w:t>, consultado el 14/05</w:t>
      </w:r>
      <w:r w:rsidRPr="003700E8">
        <w:rPr>
          <w:rFonts w:ascii="Verdana" w:hAnsi="Verdana" w:cs="Times New Roman"/>
          <w:sz w:val="18"/>
          <w:szCs w:val="18"/>
        </w:rPr>
        <w:t xml:space="preserve">/2019. </w:t>
      </w:r>
    </w:p>
  </w:footnote>
  <w:footnote w:id="22">
    <w:p w:rsidR="006E10EA" w:rsidRPr="00316CCC" w:rsidRDefault="006E10EA">
      <w:pPr>
        <w:pStyle w:val="Textonotapie"/>
        <w:rPr>
          <w:rFonts w:ascii="Times New Roman" w:hAnsi="Times New Roman" w:cs="Times New Roman"/>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Ibídem, p. 18.</w:t>
      </w:r>
    </w:p>
  </w:footnote>
  <w:footnote w:id="23">
    <w:p w:rsidR="006E10EA" w:rsidRPr="003700E8" w:rsidRDefault="006E10EA">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Ibídem, p. 21.</w:t>
      </w:r>
    </w:p>
  </w:footnote>
  <w:footnote w:id="24">
    <w:p w:rsidR="006E10EA" w:rsidRPr="003700E8" w:rsidRDefault="006E10EA">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Ídem.</w:t>
      </w:r>
    </w:p>
  </w:footnote>
  <w:footnote w:id="25">
    <w:p w:rsidR="006E10EA" w:rsidRPr="003700E8" w:rsidRDefault="006E10EA">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Ibídem, p. 25.</w:t>
      </w:r>
    </w:p>
  </w:footnote>
  <w:footnote w:id="26">
    <w:p w:rsidR="006E10EA" w:rsidRPr="003700E8" w:rsidRDefault="006E10EA">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Ibídem, p. 27.</w:t>
      </w:r>
    </w:p>
  </w:footnote>
  <w:footnote w:id="27">
    <w:p w:rsidR="006E10EA" w:rsidRPr="003700E8" w:rsidRDefault="006E10EA">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 xml:space="preserve">Puede consultarse el “Proceso de Enmienda de las Reglas y el Reglamento del CIADI” disponible en </w:t>
      </w:r>
      <w:hyperlink r:id="rId9" w:history="1">
        <w:r w:rsidRPr="003700E8">
          <w:rPr>
            <w:rStyle w:val="Hipervnculo"/>
            <w:rFonts w:ascii="Verdana" w:hAnsi="Verdana" w:cs="Times New Roman"/>
            <w:sz w:val="18"/>
            <w:szCs w:val="18"/>
            <w:lang w:val="es-MX"/>
          </w:rPr>
          <w:t>https://icsid.worldbank.org/sp/Amendments</w:t>
        </w:r>
      </w:hyperlink>
      <w:r>
        <w:rPr>
          <w:rFonts w:ascii="Verdana" w:hAnsi="Verdana" w:cs="Times New Roman"/>
          <w:sz w:val="18"/>
          <w:szCs w:val="18"/>
          <w:lang w:val="es-MX"/>
        </w:rPr>
        <w:t>, consultado el 14/05</w:t>
      </w:r>
      <w:r w:rsidRPr="003700E8">
        <w:rPr>
          <w:rFonts w:ascii="Verdana" w:hAnsi="Verdana" w:cs="Times New Roman"/>
          <w:sz w:val="18"/>
          <w:szCs w:val="18"/>
          <w:lang w:val="es-MX"/>
        </w:rPr>
        <w:t xml:space="preserve">/2019. </w:t>
      </w:r>
    </w:p>
  </w:footnote>
  <w:footnote w:id="28">
    <w:p w:rsidR="006E10EA" w:rsidRPr="003700E8" w:rsidRDefault="006E10EA" w:rsidP="00343531">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Propuesta de Regla 46 del Reglamento de Arbitraje CIADI; “</w:t>
      </w:r>
      <w:r w:rsidRPr="003700E8">
        <w:rPr>
          <w:rFonts w:ascii="Verdana" w:hAnsi="Verdana" w:cs="Times New Roman"/>
          <w:i/>
          <w:sz w:val="18"/>
          <w:szCs w:val="18"/>
          <w:lang w:val="es-MX"/>
        </w:rPr>
        <w:t>A solicitud de una de las partes, el Centro publicará cualquier escrito, observación u otro documento que esa parte haya presentado en el marco del procedimiento, con las supresiones de texto acordadas por las partes</w:t>
      </w:r>
      <w:r w:rsidRPr="003700E8">
        <w:rPr>
          <w:rFonts w:ascii="Verdana" w:hAnsi="Verdana" w:cs="Times New Roman"/>
          <w:sz w:val="18"/>
          <w:szCs w:val="18"/>
          <w:lang w:val="es-MX"/>
        </w:rPr>
        <w:t>”.</w:t>
      </w:r>
    </w:p>
  </w:footnote>
  <w:footnote w:id="29">
    <w:p w:rsidR="006E10EA" w:rsidRPr="003700E8" w:rsidRDefault="006E10EA" w:rsidP="00343531">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r w:rsidRPr="003700E8">
        <w:rPr>
          <w:rFonts w:ascii="Verdana" w:hAnsi="Verdana" w:cs="Times New Roman"/>
          <w:sz w:val="18"/>
          <w:szCs w:val="18"/>
          <w:lang w:val="es-MX"/>
        </w:rPr>
        <w:t>Propuesta de Regla 55 del Reglamento del Mecanismo Complementario CIADI; “</w:t>
      </w:r>
      <w:r w:rsidRPr="003700E8">
        <w:rPr>
          <w:rFonts w:ascii="Verdana" w:hAnsi="Verdana" w:cs="Times New Roman"/>
          <w:i/>
          <w:sz w:val="18"/>
          <w:szCs w:val="18"/>
          <w:lang w:val="es-MX"/>
        </w:rPr>
        <w:t>A solicitud de una de las partes, el Centro publicará cualquier escrito, observación u otro documento que esa parte haya presentado en el marco del procedimiento, con las supresiones de texto acordadas por las partes</w:t>
      </w:r>
      <w:r w:rsidRPr="003700E8">
        <w:rPr>
          <w:rFonts w:ascii="Verdana" w:hAnsi="Verdana" w:cs="Times New Roman"/>
          <w:sz w:val="18"/>
          <w:szCs w:val="18"/>
          <w:lang w:val="es-MX"/>
        </w:rPr>
        <w:t>”.</w:t>
      </w:r>
    </w:p>
  </w:footnote>
  <w:footnote w:id="30">
    <w:p w:rsidR="006E10EA" w:rsidRPr="0044757C" w:rsidRDefault="006E10EA" w:rsidP="00AF726D">
      <w:pPr>
        <w:pStyle w:val="Textonotapie"/>
        <w:rPr>
          <w:rFonts w:ascii="Verdana" w:hAnsi="Verdana" w:cs="Times New Roman"/>
          <w:sz w:val="18"/>
          <w:szCs w:val="18"/>
          <w:lang w:val="es-MX"/>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P</w:t>
      </w:r>
      <w:r w:rsidRPr="003700E8">
        <w:rPr>
          <w:rFonts w:ascii="Verdana" w:hAnsi="Verdana" w:cs="Times New Roman"/>
          <w:sz w:val="18"/>
          <w:szCs w:val="18"/>
          <w:lang w:val="es-MX"/>
        </w:rPr>
        <w:t>ropuesta de Regla 44(1) del Reglamento de Arbitraje CIADI; “</w:t>
      </w:r>
      <w:r w:rsidRPr="003700E8">
        <w:rPr>
          <w:rFonts w:ascii="Verdana" w:hAnsi="Verdana" w:cs="Times New Roman"/>
          <w:i/>
          <w:sz w:val="18"/>
          <w:szCs w:val="18"/>
          <w:lang w:val="es-MX"/>
        </w:rPr>
        <w:t>El Centro publicará todo laudo, decisión suplementaria sobre un laudo, rectificación, aclaración, y revisión de un laudo y decisión sobre anulación, con el consentimiento de las partes</w:t>
      </w:r>
      <w:r w:rsidRPr="003700E8">
        <w:rPr>
          <w:rFonts w:ascii="Verdana" w:hAnsi="Verdana" w:cs="Times New Roman"/>
          <w:sz w:val="18"/>
          <w:szCs w:val="18"/>
          <w:lang w:val="es-MX"/>
        </w:rPr>
        <w:t>”.</w:t>
      </w:r>
    </w:p>
  </w:footnote>
  <w:footnote w:id="31">
    <w:p w:rsidR="006E10EA" w:rsidRPr="0044757C" w:rsidRDefault="006E10EA" w:rsidP="00AF726D">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44757C">
        <w:rPr>
          <w:rFonts w:ascii="Verdana" w:hAnsi="Verdana" w:cs="Times New Roman"/>
          <w:sz w:val="18"/>
          <w:szCs w:val="18"/>
          <w:lang w:val="es-MX"/>
        </w:rPr>
        <w:t>Propuesta de Regla 44(2) del Reglamento de Arbitraje CIADI reconoce que; “</w:t>
      </w:r>
      <w:r w:rsidRPr="0044757C">
        <w:rPr>
          <w:rFonts w:ascii="Verdana" w:hAnsi="Verdana" w:cs="Times New Roman"/>
          <w:i/>
          <w:sz w:val="18"/>
          <w:szCs w:val="18"/>
          <w:lang w:val="es-MX"/>
        </w:rPr>
        <w:t>Si ninguna de las partes objeta por escrito a la publicación de los documentos a los que se hace referencia en el párrafo (1) dentro de los 60 días siguientes a la fecha de envío del documento, se considerará que esta ha otorgado su consentimiento para publicarlos</w:t>
      </w:r>
      <w:r w:rsidRPr="0044757C">
        <w:rPr>
          <w:rFonts w:ascii="Verdana" w:hAnsi="Verdana" w:cs="Times New Roman"/>
          <w:sz w:val="18"/>
          <w:szCs w:val="18"/>
          <w:lang w:val="es-MX"/>
        </w:rPr>
        <w:t>”.</w:t>
      </w:r>
    </w:p>
  </w:footnote>
  <w:footnote w:id="32">
    <w:p w:rsidR="006E10EA" w:rsidRPr="00D7486E" w:rsidRDefault="006E10EA" w:rsidP="00AF726D">
      <w:pPr>
        <w:pStyle w:val="Textonotapie"/>
        <w:rPr>
          <w:rFonts w:ascii="Times New Roman" w:hAnsi="Times New Roman" w:cs="Times New Roman"/>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44757C">
        <w:rPr>
          <w:rFonts w:ascii="Verdana" w:hAnsi="Verdana" w:cs="Times New Roman"/>
          <w:sz w:val="18"/>
          <w:szCs w:val="18"/>
          <w:lang w:val="es-MX"/>
        </w:rPr>
        <w:t>Propuesta de Regla 44(3) del Reglamento de Arbitraje CIADI; “</w:t>
      </w:r>
      <w:r w:rsidRPr="0044757C">
        <w:rPr>
          <w:rFonts w:ascii="Verdana" w:hAnsi="Verdana" w:cs="Times New Roman"/>
          <w:i/>
          <w:sz w:val="18"/>
          <w:szCs w:val="18"/>
          <w:lang w:val="es-MX"/>
        </w:rPr>
        <w:t>En ausencia del consentimiento de las partes al que se hace referencia en los párrafos (1) o (2), el Centro publicará extractos del razonamiento jurídico de dichos documentos (…)</w:t>
      </w:r>
      <w:r w:rsidRPr="0044757C">
        <w:rPr>
          <w:rFonts w:ascii="Verdana" w:hAnsi="Verdana" w:cs="Times New Roman"/>
          <w:sz w:val="18"/>
          <w:szCs w:val="18"/>
          <w:lang w:val="es-MX"/>
        </w:rPr>
        <w:t>”.</w:t>
      </w:r>
    </w:p>
  </w:footnote>
  <w:footnote w:id="33">
    <w:p w:rsidR="006E10EA" w:rsidRPr="0044757C" w:rsidRDefault="006E10EA">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44757C">
        <w:rPr>
          <w:rFonts w:ascii="Verdana" w:hAnsi="Verdana" w:cs="Times New Roman"/>
          <w:sz w:val="18"/>
          <w:szCs w:val="18"/>
          <w:lang w:val="es-MX"/>
        </w:rPr>
        <w:t>Propuesta de Regla 54 del Reglamento del Mecanismo Complementario del CIADI.</w:t>
      </w:r>
    </w:p>
  </w:footnote>
  <w:footnote w:id="34">
    <w:p w:rsidR="006E10EA" w:rsidRPr="0044757C" w:rsidRDefault="006E10EA" w:rsidP="00E32254">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44757C">
        <w:rPr>
          <w:rFonts w:ascii="Verdana" w:hAnsi="Verdana" w:cs="Times New Roman"/>
          <w:sz w:val="18"/>
          <w:szCs w:val="18"/>
          <w:lang w:val="es-MX"/>
        </w:rPr>
        <w:t>Art. 34(5) del Reglamento de la CNUDMI del 2010.</w:t>
      </w:r>
    </w:p>
  </w:footnote>
  <w:footnote w:id="35">
    <w:p w:rsidR="006E10EA" w:rsidRPr="0044757C" w:rsidRDefault="006E10EA">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r w:rsidRPr="0044757C">
        <w:rPr>
          <w:rFonts w:ascii="Verdana" w:hAnsi="Verdana" w:cs="Times New Roman"/>
          <w:sz w:val="18"/>
          <w:szCs w:val="18"/>
          <w:lang w:val="es-MX"/>
        </w:rPr>
        <w:t>En este sentido, el Art. 4 del Reglamento de la CNUDMI, aprobado en 2013 establece: “</w:t>
      </w:r>
      <w:r w:rsidRPr="0044757C">
        <w:rPr>
          <w:rFonts w:ascii="Verdana" w:hAnsi="Verdana" w:cs="Times New Roman"/>
          <w:i/>
          <w:sz w:val="18"/>
          <w:szCs w:val="18"/>
          <w:lang w:val="es-MX"/>
        </w:rPr>
        <w:t>En el caso de los arbitrajes entre inversionistas y Estados entablados de conformidad con un tratado que prevea la protección de las inversiones o los inversionistas, el presente Reglamento incluye el Reglamento de la CNUDMI sobre la Transparencia en los arbitrajes entre inversionistas y Estados en el marco de un tratado, a reserva de lo dispuesto en el artículo 1 del Reglamento sobre la Transparencia</w:t>
      </w:r>
      <w:r w:rsidRPr="0044757C">
        <w:rPr>
          <w:rFonts w:ascii="Verdana" w:hAnsi="Verdana" w:cs="Times New Roman"/>
          <w:sz w:val="18"/>
          <w:szCs w:val="18"/>
          <w:lang w:val="es-MX"/>
        </w:rPr>
        <w:t>”.</w:t>
      </w:r>
    </w:p>
  </w:footnote>
  <w:footnote w:id="36">
    <w:p w:rsidR="006E10EA" w:rsidRPr="0044757C" w:rsidRDefault="006E10EA" w:rsidP="00DF023B">
      <w:pPr>
        <w:pStyle w:val="Textonotapie"/>
        <w:rPr>
          <w:rFonts w:ascii="Verdana" w:hAnsi="Verdana" w:cs="Times New Roman"/>
          <w:sz w:val="18"/>
          <w:szCs w:val="18"/>
          <w:lang w:val="en-US"/>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En las versiones anteriores del Reglamento de Arbitraje de la CNUDMI, las controversias inversionista-Estado escasamente se hacían públicas, aunque estuvieran en juego políticas públicas importantes o se descubrieran prácticas comerciales corruptas o ilegales. </w:t>
      </w:r>
      <w:r w:rsidRPr="0044757C">
        <w:rPr>
          <w:rFonts w:ascii="Verdana" w:hAnsi="Verdana" w:cs="Times New Roman"/>
          <w:sz w:val="18"/>
          <w:szCs w:val="18"/>
          <w:lang w:val="en-US"/>
        </w:rPr>
        <w:t xml:space="preserve">Véase, </w:t>
      </w:r>
      <w:bookmarkStart w:id="16" w:name="_Hlk490673131"/>
      <w:r w:rsidRPr="00CE6081">
        <w:rPr>
          <w:rFonts w:ascii="Verdana" w:hAnsi="Verdana" w:cs="Times New Roman"/>
          <w:sz w:val="18"/>
          <w:szCs w:val="18"/>
          <w:lang w:val="en-US"/>
        </w:rPr>
        <w:t xml:space="preserve">JOHNSON, L., BERNASCONI-OSTERWALDER, N. </w:t>
      </w:r>
      <w:r w:rsidRPr="00CE6081">
        <w:rPr>
          <w:rFonts w:ascii="Verdana" w:hAnsi="Verdana" w:cs="Times New Roman"/>
          <w:i/>
          <w:sz w:val="18"/>
          <w:szCs w:val="18"/>
          <w:lang w:val="en-US"/>
        </w:rPr>
        <w:t>New UNCITRAL Arbitration Rules on Transparency</w:t>
      </w:r>
      <w:bookmarkEnd w:id="16"/>
      <w:r w:rsidRPr="00CE6081">
        <w:rPr>
          <w:rFonts w:ascii="Verdana" w:hAnsi="Verdana" w:cs="Times New Roman"/>
          <w:i/>
          <w:sz w:val="18"/>
          <w:szCs w:val="18"/>
          <w:lang w:val="en-US"/>
        </w:rPr>
        <w:t>: Application, Content and Next Steps,</w:t>
      </w:r>
      <w:r w:rsidRPr="00CE6081">
        <w:rPr>
          <w:rFonts w:ascii="Verdana" w:hAnsi="Verdana" w:cs="Times New Roman"/>
          <w:sz w:val="18"/>
          <w:szCs w:val="18"/>
          <w:lang w:val="en-US"/>
        </w:rPr>
        <w:t xml:space="preserve"> </w:t>
      </w:r>
      <w:r w:rsidRPr="00CE6081">
        <w:rPr>
          <w:rFonts w:ascii="Verdana" w:hAnsi="Verdana" w:cs="Times New Roman"/>
          <w:i/>
          <w:sz w:val="18"/>
          <w:szCs w:val="18"/>
          <w:lang w:val="en-US"/>
        </w:rPr>
        <w:t>Columbia University</w:t>
      </w:r>
      <w:r w:rsidRPr="00CE6081">
        <w:rPr>
          <w:rFonts w:ascii="Verdana" w:hAnsi="Verdana" w:cs="Times New Roman"/>
          <w:sz w:val="18"/>
          <w:szCs w:val="18"/>
          <w:lang w:val="en-US"/>
        </w:rPr>
        <w:t>, 2013</w:t>
      </w:r>
      <w:r w:rsidRPr="0044757C">
        <w:rPr>
          <w:rFonts w:ascii="Verdana" w:hAnsi="Verdana" w:cs="Times New Roman"/>
          <w:sz w:val="18"/>
          <w:szCs w:val="18"/>
          <w:lang w:val="en-US"/>
        </w:rPr>
        <w:t xml:space="preserve">, p. 4.  </w:t>
      </w:r>
    </w:p>
  </w:footnote>
  <w:footnote w:id="37">
    <w:p w:rsidR="006E10EA" w:rsidRPr="00992A97" w:rsidRDefault="006E10EA">
      <w:pPr>
        <w:pStyle w:val="Textonotapie"/>
        <w:rPr>
          <w:rFonts w:ascii="Times New Roman" w:hAnsi="Times New Roman" w:cs="Times New Roman"/>
          <w:lang w:val="en-US"/>
        </w:rPr>
      </w:pPr>
      <w:r w:rsidRPr="0044757C">
        <w:rPr>
          <w:rStyle w:val="Refdenotaalpie"/>
          <w:rFonts w:ascii="Verdana" w:hAnsi="Verdana" w:cs="Times New Roman"/>
          <w:sz w:val="18"/>
          <w:szCs w:val="18"/>
        </w:rPr>
        <w:footnoteRef/>
      </w:r>
      <w:r w:rsidRPr="0044757C">
        <w:rPr>
          <w:rFonts w:ascii="Verdana" w:hAnsi="Verdana" w:cs="Times New Roman"/>
          <w:sz w:val="18"/>
          <w:szCs w:val="18"/>
          <w:lang w:val="en-US"/>
        </w:rPr>
        <w:t xml:space="preserve"> </w:t>
      </w:r>
      <w:r w:rsidRPr="00707381">
        <w:rPr>
          <w:rFonts w:ascii="Verdana" w:hAnsi="Verdana" w:cs="Times New Roman"/>
          <w:sz w:val="18"/>
          <w:szCs w:val="18"/>
          <w:lang w:val="en-US"/>
        </w:rPr>
        <w:t>BOISSON</w:t>
      </w:r>
      <w:r>
        <w:rPr>
          <w:rFonts w:ascii="Verdana" w:hAnsi="Verdana" w:cs="Times New Roman"/>
          <w:sz w:val="18"/>
          <w:szCs w:val="18"/>
          <w:lang w:val="en-US"/>
        </w:rPr>
        <w:t xml:space="preserve"> DE CHAZOURNES, L., BARUTI, R.</w:t>
      </w:r>
      <w:r w:rsidRPr="0044757C">
        <w:rPr>
          <w:rFonts w:ascii="Verdana" w:hAnsi="Verdana" w:cs="Times New Roman"/>
          <w:sz w:val="18"/>
          <w:szCs w:val="18"/>
          <w:lang w:val="en-US"/>
        </w:rPr>
        <w:t xml:space="preserve"> “Transparency in Investor-State Arbitr</w:t>
      </w:r>
      <w:r>
        <w:rPr>
          <w:rFonts w:ascii="Verdana" w:hAnsi="Verdana" w:cs="Times New Roman"/>
          <w:sz w:val="18"/>
          <w:szCs w:val="18"/>
          <w:lang w:val="en-US"/>
        </w:rPr>
        <w:t>ation: An Incremental Approach”,</w:t>
      </w:r>
      <w:r w:rsidRPr="0044757C">
        <w:rPr>
          <w:rFonts w:ascii="Verdana" w:hAnsi="Verdana" w:cs="Times New Roman"/>
          <w:sz w:val="18"/>
          <w:szCs w:val="18"/>
          <w:lang w:val="en-US"/>
        </w:rPr>
        <w:t xml:space="preserve"> </w:t>
      </w:r>
      <w:r w:rsidRPr="0044757C">
        <w:rPr>
          <w:rFonts w:ascii="Verdana" w:hAnsi="Verdana" w:cs="Times New Roman"/>
          <w:i/>
          <w:sz w:val="18"/>
          <w:szCs w:val="18"/>
          <w:lang w:val="en-US"/>
        </w:rPr>
        <w:t>Bahrain Chamber for Dispute Resolution International Arbitration Review</w:t>
      </w:r>
      <w:r w:rsidRPr="0044757C">
        <w:rPr>
          <w:rFonts w:ascii="Verdana" w:hAnsi="Verdana" w:cs="Times New Roman"/>
          <w:sz w:val="18"/>
          <w:szCs w:val="18"/>
          <w:lang w:val="en-US"/>
        </w:rPr>
        <w:t>, Vol. 2, No. 1, 2015, p. 74.</w:t>
      </w:r>
    </w:p>
  </w:footnote>
  <w:footnote w:id="38">
    <w:p w:rsidR="006E10EA" w:rsidRPr="0044757C" w:rsidRDefault="006E10EA" w:rsidP="00553739">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w:t>
      </w:r>
      <w:bookmarkStart w:id="19" w:name="_Hlk490729250"/>
      <w:r w:rsidRPr="00707381">
        <w:rPr>
          <w:rFonts w:ascii="Verdana" w:hAnsi="Verdana" w:cs="Times New Roman"/>
          <w:sz w:val="18"/>
          <w:szCs w:val="18"/>
        </w:rPr>
        <w:t>SILVA ROMERO, E., FELIPE MERIZALDE</w:t>
      </w:r>
      <w:bookmarkEnd w:id="19"/>
      <w:r w:rsidRPr="00707381">
        <w:rPr>
          <w:rFonts w:ascii="Verdana" w:hAnsi="Verdana" w:cs="Times New Roman"/>
          <w:sz w:val="18"/>
          <w:szCs w:val="18"/>
        </w:rPr>
        <w:t xml:space="preserve">, J. ¿Cumple su finalidad el nuevo Reglamento de Transparencia de la CNUDMI?, </w:t>
      </w:r>
      <w:r w:rsidRPr="00707381">
        <w:rPr>
          <w:rFonts w:ascii="Verdana" w:hAnsi="Verdana" w:cs="Times New Roman"/>
          <w:i/>
          <w:sz w:val="18"/>
          <w:szCs w:val="18"/>
        </w:rPr>
        <w:t>Arbitraje PUCP</w:t>
      </w:r>
      <w:r w:rsidRPr="00707381">
        <w:rPr>
          <w:rFonts w:ascii="Verdana" w:hAnsi="Verdana" w:cs="Times New Roman"/>
          <w:sz w:val="18"/>
          <w:szCs w:val="18"/>
        </w:rPr>
        <w:t>, 2014</w:t>
      </w:r>
      <w:r w:rsidRPr="0044757C">
        <w:rPr>
          <w:rFonts w:ascii="Verdana" w:hAnsi="Verdana" w:cs="Times New Roman"/>
          <w:sz w:val="18"/>
          <w:szCs w:val="18"/>
        </w:rPr>
        <w:t xml:space="preserve">, p. 191. </w:t>
      </w:r>
    </w:p>
  </w:footnote>
  <w:footnote w:id="39">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El Artículo1.1 del Reglamento sobre Transparencia establece que: “</w:t>
      </w:r>
      <w:r w:rsidRPr="0044757C">
        <w:rPr>
          <w:rFonts w:ascii="Verdana" w:hAnsi="Verdana" w:cs="Times New Roman"/>
          <w:i/>
          <w:sz w:val="18"/>
          <w:szCs w:val="18"/>
        </w:rPr>
        <w:t>El Reglamento de la CNUDMI sobre Transparencia en los Arbitrajes entre inversionistas y Estados en el marco de un Tratado (Reglamento sobre la Transparencia) se aplicará a los arbitrajes entre inversionistas y Estados entablados, en virtud del Reglamento de Arbitraje de la CNUDMI, de conformidad con un tratado que establezca la protección de las inversiones o los inversionistas (el Tratado) celebrado el 1 de abril de 2014 o después de esa fecha, a menos que las partes en el tratado hayan acordado otra cosa</w:t>
      </w:r>
      <w:r w:rsidRPr="0044757C">
        <w:rPr>
          <w:rFonts w:ascii="Verdana" w:hAnsi="Verdana" w:cs="Times New Roman"/>
          <w:sz w:val="18"/>
          <w:szCs w:val="18"/>
        </w:rPr>
        <w:t xml:space="preserve">”. </w:t>
      </w:r>
    </w:p>
  </w:footnote>
  <w:footnote w:id="40">
    <w:p w:rsidR="006E10EA" w:rsidRPr="00010655" w:rsidRDefault="006E10EA">
      <w:pPr>
        <w:pStyle w:val="Textonotapie"/>
        <w:rPr>
          <w:rFonts w:ascii="Times New Roman" w:hAnsi="Times New Roman" w:cs="Times New Roman"/>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El Artículo 1.4 del Reglamento de la CNUDMI en su modificación del año 2013, establece que: “</w:t>
      </w:r>
      <w:r w:rsidRPr="0044757C">
        <w:rPr>
          <w:rFonts w:ascii="Verdana" w:hAnsi="Verdana" w:cs="Times New Roman"/>
          <w:i/>
          <w:sz w:val="18"/>
          <w:szCs w:val="18"/>
        </w:rPr>
        <w:t>En el caso de los arbitrajes entre inversionistas y Estados entablados de conformidad con un tratado que prevea la protección de las inversiones o los inversionistas, el presente Reglamento incluye el Reglamento de la CNUDMI sobre la Transparencia, a reserva de lo dispuesto en el artículo 1 del Reglamento sobre la Transparencia</w:t>
      </w:r>
      <w:r w:rsidRPr="0044757C">
        <w:rPr>
          <w:rFonts w:ascii="Verdana" w:hAnsi="Verdana" w:cs="Times New Roman"/>
          <w:sz w:val="18"/>
          <w:szCs w:val="18"/>
        </w:rPr>
        <w:t>”.</w:t>
      </w:r>
    </w:p>
  </w:footnote>
  <w:footnote w:id="41">
    <w:p w:rsidR="006E10EA" w:rsidRPr="003700E8" w:rsidRDefault="006E10EA" w:rsidP="001E5DA5">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En este sentido el Artículo 1.2 del Reglamento establece: “</w:t>
      </w:r>
      <w:r w:rsidRPr="0044757C">
        <w:rPr>
          <w:rFonts w:ascii="Verdana" w:hAnsi="Verdana" w:cs="Times New Roman"/>
          <w:i/>
          <w:sz w:val="18"/>
          <w:szCs w:val="18"/>
        </w:rPr>
        <w:t>Con respecto a los arbitrajes entre inversionistas y Estados entablados en virtud del Reglamento de Arbitraje de la CNUDMI, de conformidad con un tratado celebrado antes del 1 de abril de 2014, este Reglamento solamente se aplicará si: a) las partes en un arbitraje (las partes litigantes) convienen en su aplicación respecto de ese arbitraje; o, b) las partes en el tratado o, en el caso de un tratado multilateral, el Estado del demandante y el Estado demandado han convenido en su aplicación después del 1 de abril de 2014</w:t>
      </w:r>
      <w:r w:rsidRPr="0044757C">
        <w:rPr>
          <w:rFonts w:ascii="Verdana" w:hAnsi="Verdana" w:cs="Times New Roman"/>
          <w:sz w:val="18"/>
          <w:szCs w:val="18"/>
        </w:rPr>
        <w:t>”; coincidiendo así, con lo expresado en la segunda de las recomendaciones de la Resolución 68/109 de las Naciones Unidas, cuando reconoce que: “</w:t>
      </w:r>
      <w:r w:rsidRPr="0044757C">
        <w:rPr>
          <w:rFonts w:ascii="Verdana" w:hAnsi="Verdana" w:cs="Times New Roman"/>
          <w:i/>
          <w:sz w:val="18"/>
          <w:szCs w:val="18"/>
        </w:rPr>
        <w:t>a reserva de toda disposición del tratado p</w:t>
      </w:r>
      <w:r w:rsidRPr="003700E8">
        <w:rPr>
          <w:rFonts w:ascii="Verdana" w:hAnsi="Verdana" w:cs="Times New Roman"/>
          <w:i/>
          <w:sz w:val="18"/>
          <w:szCs w:val="18"/>
        </w:rPr>
        <w:t xml:space="preserve">ertinente que pueda requerir un grado de transparencia mayor que el previsto en el presente Reglamento sobre la Transparencia, este último se aplique mediante mecanismos apropiados a los arbitrajes entre inversionista y Estados entablados de conformidad con un tratado que prevea la protección de los inversores y las inversiones celebrado antes de la fecha de entrada en vigor del Reglamento, en la medida que dicha aplicación sea compatible con esos tratados”. </w:t>
      </w:r>
    </w:p>
  </w:footnote>
  <w:footnote w:id="42">
    <w:p w:rsidR="006E10EA" w:rsidRPr="003700E8" w:rsidRDefault="006E10EA" w:rsidP="001E5DA5">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bookmarkStart w:id="22" w:name="_Hlk490956034"/>
      <w:r w:rsidRPr="003700E8">
        <w:rPr>
          <w:rFonts w:ascii="Verdana" w:hAnsi="Verdana" w:cs="Times New Roman"/>
          <w:sz w:val="18"/>
          <w:szCs w:val="18"/>
        </w:rPr>
        <w:t>Véase, Artículo 1.2 a) del Reglamento sobre la Transparencia.</w:t>
      </w:r>
      <w:bookmarkEnd w:id="22"/>
      <w:r w:rsidRPr="003700E8">
        <w:rPr>
          <w:rFonts w:ascii="Verdana" w:hAnsi="Verdana" w:cs="Times New Roman"/>
          <w:sz w:val="18"/>
          <w:szCs w:val="18"/>
        </w:rPr>
        <w:t xml:space="preserve"> En el ámbito práctico, referenciamos el caso, </w:t>
      </w:r>
      <w:r w:rsidRPr="00FA0884">
        <w:rPr>
          <w:rFonts w:ascii="Verdana" w:hAnsi="Verdana" w:cs="Times New Roman"/>
          <w:i/>
          <w:sz w:val="18"/>
          <w:szCs w:val="18"/>
        </w:rPr>
        <w:t xml:space="preserve">Iberdrola, S.A. (España), Iberdrola Energía, S.A.U. vs. Bolivia, </w:t>
      </w:r>
      <w:r w:rsidRPr="00FA0884">
        <w:rPr>
          <w:rFonts w:ascii="Verdana" w:hAnsi="Verdana" w:cs="Times New Roman"/>
          <w:sz w:val="18"/>
          <w:szCs w:val="18"/>
        </w:rPr>
        <w:t>Caso CPA No. 2015-05, administrado por la Corte Permanente de Arbitraje (CPA), 2015</w:t>
      </w:r>
      <w:r w:rsidRPr="003700E8">
        <w:rPr>
          <w:rFonts w:ascii="Verdana" w:hAnsi="Verdana" w:cs="Times New Roman"/>
          <w:sz w:val="18"/>
          <w:szCs w:val="18"/>
        </w:rPr>
        <w:t xml:space="preserve">. En el cual las Reglas de transparencia se aplican al caso por acuerdo de las partes contendientes (artículo 1.2 a) y no como consecuencia de un tratado. </w:t>
      </w:r>
      <w:r w:rsidRPr="003700E8">
        <w:rPr>
          <w:rFonts w:ascii="Verdana" w:hAnsi="Verdana" w:cs="Times New Roman"/>
          <w:sz w:val="18"/>
          <w:szCs w:val="18"/>
          <w:lang w:val="en-US"/>
        </w:rPr>
        <w:t xml:space="preserve">Al igual que en el caso </w:t>
      </w:r>
      <w:bookmarkStart w:id="23" w:name="_Hlk490964865"/>
      <w:r w:rsidRPr="00FA0884">
        <w:rPr>
          <w:rFonts w:ascii="Verdana" w:hAnsi="Verdana" w:cs="Times New Roman"/>
          <w:i/>
          <w:sz w:val="18"/>
          <w:szCs w:val="18"/>
          <w:lang w:val="en-US"/>
        </w:rPr>
        <w:t>BSG Resources Limited, BSG Resources (Guinea) Limited and BSG Resources (Guinea) SÀRL vs. Republic of Guinea</w:t>
      </w:r>
      <w:r w:rsidRPr="00FA0884">
        <w:rPr>
          <w:rFonts w:ascii="Verdana" w:hAnsi="Verdana" w:cs="Times New Roman"/>
          <w:sz w:val="18"/>
          <w:szCs w:val="18"/>
          <w:lang w:val="en-US"/>
        </w:rPr>
        <w:t xml:space="preserve">, ICSID Case No. </w:t>
      </w:r>
      <w:r w:rsidRPr="00FA0884">
        <w:rPr>
          <w:rFonts w:ascii="Verdana" w:hAnsi="Verdana" w:cs="Times New Roman"/>
          <w:sz w:val="18"/>
          <w:szCs w:val="18"/>
        </w:rPr>
        <w:t>ARB/14/22, 2014</w:t>
      </w:r>
      <w:bookmarkEnd w:id="23"/>
      <w:r w:rsidRPr="003700E8">
        <w:rPr>
          <w:rFonts w:ascii="Verdana" w:hAnsi="Verdana" w:cs="Times New Roman"/>
          <w:sz w:val="18"/>
          <w:szCs w:val="18"/>
        </w:rPr>
        <w:t>.</w:t>
      </w:r>
    </w:p>
  </w:footnote>
  <w:footnote w:id="43">
    <w:p w:rsidR="006E10EA" w:rsidRPr="003700E8" w:rsidRDefault="006E10EA" w:rsidP="001E5DA5">
      <w:pPr>
        <w:pStyle w:val="Textonotapie"/>
        <w:rPr>
          <w:rFonts w:ascii="Verdana" w:hAnsi="Verdana"/>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 Artículo 1.2 b) del Reglamento sobre la Transparencia.</w:t>
      </w:r>
    </w:p>
  </w:footnote>
  <w:footnote w:id="44">
    <w:p w:rsidR="006E10EA" w:rsidRPr="003700E8" w:rsidRDefault="006E10EA" w:rsidP="007E539D">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Según artículo 1.2 a) del Reglamento sobre la Transparencia.</w:t>
      </w:r>
    </w:p>
  </w:footnote>
  <w:footnote w:id="45">
    <w:p w:rsidR="006E10EA" w:rsidRPr="003700E8" w:rsidRDefault="006E10EA" w:rsidP="00490380">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podemos citar varios ejemplos, como pueden ser: el acuerdo APPRI entre Argentina y Argelia, 2000 (en vigor 2002), en su artículo 8.3, establece: “</w:t>
      </w:r>
      <w:r w:rsidRPr="003700E8">
        <w:rPr>
          <w:rFonts w:ascii="Verdana" w:hAnsi="Verdana" w:cs="Times New Roman"/>
          <w:i/>
          <w:sz w:val="18"/>
          <w:szCs w:val="18"/>
        </w:rPr>
        <w:t>En caso de recurrir al arbitraje internacional la controversia puede ser llevada ante uno de estos órganos de arbitraje que a continuación se mencionan a elección del inversor: a) El Centro Internacional de Arreglo de Diferencias Relativas a Inversiones (CIADI) creado por la "Convención sobre Arreglo de Diferencias relativas a las Inversiones entre Estados y Nacionales de otros Estados" abierto a la firma en Washington el 18 de marzo de 1965, cuando cada Estado parte en el presente Acuerdo haya adherido a aquélla. Mientras esta condición no se cumpla, cada Parte Contratante da su consentimiento para que la controversia sea sometida al arbitraje conforme al Reglamento del Mecanismo Complementario del CIADI. b) a un Tribunal de arbitraje ad-hoc, establecido según las reglas de arbitraje de la Comisión de Naciones Unidas para el Derecho Mercantil Internacional (CNUMDI.)</w:t>
      </w:r>
      <w:r w:rsidRPr="003700E8">
        <w:rPr>
          <w:rFonts w:ascii="Verdana" w:hAnsi="Verdana" w:cs="Times New Roman"/>
          <w:sz w:val="18"/>
          <w:szCs w:val="18"/>
        </w:rPr>
        <w:t>”, disponible en:</w:t>
      </w:r>
      <w:r w:rsidRPr="003700E8">
        <w:rPr>
          <w:rFonts w:ascii="Verdana" w:hAnsi="Verdana"/>
          <w:sz w:val="18"/>
          <w:szCs w:val="18"/>
        </w:rPr>
        <w:t xml:space="preserve"> </w:t>
      </w:r>
      <w:hyperlink r:id="rId10" w:history="1">
        <w:r w:rsidRPr="003700E8">
          <w:rPr>
            <w:rStyle w:val="Hipervnculo"/>
            <w:rFonts w:ascii="Verdana" w:hAnsi="Verdana" w:cs="Times New Roman"/>
            <w:sz w:val="18"/>
            <w:szCs w:val="18"/>
          </w:rPr>
          <w:t>http://investmentpolicyhub.unctad.org/Download/TreatyFile/40</w:t>
        </w:r>
      </w:hyperlink>
      <w:r w:rsidRPr="003700E8">
        <w:rPr>
          <w:rFonts w:ascii="Verdana" w:hAnsi="Verdana" w:cs="Times New Roman"/>
          <w:sz w:val="18"/>
          <w:szCs w:val="18"/>
        </w:rPr>
        <w:t>; el APPRI entre Costa Rica y Argentina, 1997 (en vigor 2001), en su artículo 12.5, establece que: “</w:t>
      </w:r>
      <w:r w:rsidRPr="003700E8">
        <w:rPr>
          <w:rFonts w:ascii="Verdana" w:hAnsi="Verdana" w:cs="Times New Roman"/>
          <w:i/>
          <w:sz w:val="18"/>
          <w:szCs w:val="18"/>
        </w:rPr>
        <w:t>En caso de recurso al arbitraje internacional, la controversia podrá ser llevada: a) al Centro Internacional de Arreglo de Diferencias relativas a Inversiones (CIADI), creado por el “Convenio sobre el Arreglo de Diferencias relativas a las Inversiones entre Estados y Nacionales de otros Estados”, abierto a la firma en Washington el 18 de marzo de 1965, cuando cada Estado Parte en el presente Acuerdo se haya adherido a aquel.</w:t>
      </w:r>
      <w:r w:rsidRPr="003700E8">
        <w:rPr>
          <w:rFonts w:ascii="Verdana" w:hAnsi="Verdana"/>
          <w:i/>
          <w:sz w:val="18"/>
          <w:szCs w:val="18"/>
        </w:rPr>
        <w:t xml:space="preserve"> </w:t>
      </w:r>
      <w:r w:rsidRPr="003700E8">
        <w:rPr>
          <w:rFonts w:ascii="Verdana" w:hAnsi="Verdana" w:cs="Times New Roman"/>
          <w:i/>
          <w:sz w:val="18"/>
          <w:szCs w:val="18"/>
        </w:rPr>
        <w:t>Mientras esta condición no se cumpla, cada Parte Contratante da su consentimiento para que la controversia sea sometida al arbitraje conforme con el Reglamento del Mecanismo Complementario del CIADI para la administración de procedimientos de conciliación, de arbitraje o de investigación;</w:t>
      </w:r>
      <w:r w:rsidRPr="003700E8">
        <w:rPr>
          <w:rFonts w:ascii="Verdana" w:hAnsi="Verdana"/>
          <w:i/>
          <w:sz w:val="18"/>
          <w:szCs w:val="18"/>
        </w:rPr>
        <w:t xml:space="preserve"> </w:t>
      </w:r>
      <w:r w:rsidRPr="003700E8">
        <w:rPr>
          <w:rFonts w:ascii="Verdana" w:hAnsi="Verdana" w:cs="Times New Roman"/>
          <w:i/>
          <w:sz w:val="18"/>
          <w:szCs w:val="18"/>
        </w:rPr>
        <w:t>b) a un tribunal de arbitraje “ad hoc” establecido de acuerdo con las reglas de arbitraje de la Comisión de las Naciones Unidas para el Derecho Mercantil Internacional (CNUDMI)</w:t>
      </w:r>
      <w:r w:rsidRPr="003700E8">
        <w:rPr>
          <w:rFonts w:ascii="Verdana" w:hAnsi="Verdana" w:cs="Times New Roman"/>
          <w:sz w:val="18"/>
          <w:szCs w:val="18"/>
        </w:rPr>
        <w:t xml:space="preserve">”, disponible en: </w:t>
      </w:r>
      <w:hyperlink r:id="rId11" w:history="1">
        <w:r w:rsidRPr="003700E8">
          <w:rPr>
            <w:rStyle w:val="Hipervnculo"/>
            <w:rFonts w:ascii="Verdana" w:hAnsi="Verdana" w:cs="Times New Roman"/>
            <w:sz w:val="18"/>
            <w:szCs w:val="18"/>
          </w:rPr>
          <w:t>http://investmentpolicyhub.unctad.org/Download/TreatyFile/80</w:t>
        </w:r>
      </w:hyperlink>
      <w:r w:rsidRPr="003700E8">
        <w:rPr>
          <w:rFonts w:ascii="Verdana" w:hAnsi="Verdana" w:cs="Times New Roman"/>
          <w:sz w:val="18"/>
          <w:szCs w:val="18"/>
        </w:rPr>
        <w:t>; el APPRI, entre España y Bahréin, 2008 (en vigor 2014), en cuyo artículo 11.2, establece que: “</w:t>
      </w:r>
      <w:r w:rsidRPr="003700E8">
        <w:rPr>
          <w:rFonts w:ascii="Verdana" w:hAnsi="Verdana" w:cs="Times New Roman"/>
          <w:i/>
          <w:sz w:val="18"/>
          <w:szCs w:val="18"/>
        </w:rPr>
        <w:t xml:space="preserve">Si estas controversias no pudieran resolverse de forma amistosa en un plazo de seis meses a partir de la fecha de la notificación escrita mencionada en el apartado 1, podrán someterse, a elección del inversor:- al tribunal competente de la Parte Contratante en cuyo territorio se haya efectuado la inversión; o, - a un tribunal de arbitraje «ad hoc» establecido según el Reglamento de Arbitraje de la Comisión de las Naciones Unidas para el Derecho Mercantil Internacional (CNUDMI); o, - al Centro Internacional de Arreglo de Diferencias Relativas a Inversiones (CIADI) establecido en virtud del «Convenio sobre el arreglo de diferencias relativas a inversiones entre Estados y nacionales de otros Estados», abierto a la firma en Washington el 18 de marzo de 1965, en el caso de que ambas Partes Contratantes lleguen a ser miembros de dicho Convenio. Si una Parte Contratante que sea parte en la controversia no ha llegado a ser Estado Contratante del Convenio antes mencionado, la controversia se resolverá de conformidad con las normas del Mecanismo Complementario para la Administración de los Procedimientos de Conciliación, Arbitraje y de Determinación de Hechos del CIADI”, disponible en: </w:t>
      </w:r>
      <w:hyperlink r:id="rId12" w:history="1">
        <w:r w:rsidRPr="003700E8">
          <w:rPr>
            <w:rStyle w:val="Hipervnculo"/>
            <w:rFonts w:ascii="Verdana" w:hAnsi="Verdana" w:cs="Times New Roman"/>
            <w:i/>
            <w:sz w:val="18"/>
            <w:szCs w:val="18"/>
          </w:rPr>
          <w:t>http://investmentpolicyhub.unctad.org/Download/TreatyFile/4846</w:t>
        </w:r>
      </w:hyperlink>
      <w:r w:rsidRPr="003700E8">
        <w:rPr>
          <w:rFonts w:ascii="Verdana" w:hAnsi="Verdana" w:cs="Times New Roman"/>
          <w:i/>
          <w:sz w:val="18"/>
          <w:szCs w:val="18"/>
        </w:rPr>
        <w:t xml:space="preserve">; el </w:t>
      </w:r>
      <w:r w:rsidRPr="003700E8">
        <w:rPr>
          <w:rFonts w:ascii="Verdana" w:hAnsi="Verdana" w:cs="Times New Roman"/>
          <w:sz w:val="18"/>
          <w:szCs w:val="18"/>
        </w:rPr>
        <w:t>APPRI entre España y Mauritania, 2008 (en vigor 2016), cuyo artículo 11.2 establece que: “</w:t>
      </w:r>
      <w:r w:rsidRPr="003700E8">
        <w:rPr>
          <w:rFonts w:ascii="Verdana" w:hAnsi="Verdana" w:cs="Times New Roman"/>
          <w:i/>
          <w:sz w:val="18"/>
          <w:szCs w:val="18"/>
        </w:rPr>
        <w:t>Si la controversia no pudiera ser resuelta de esta forma en un plazo de seis meses a partir de la fecha de la notificación escrita mencionada en el apartado 1, la controversia se someterá, a elección del inversor: - a un tribunal competente de la Parte Contratante en cuyo territorio se haya realizado la inversión; o, - a un tribunal de arbitraje ad hoc constituido de acuerdo con el Reglamento de Arbitraje de la Comisión de las Naciones Unidas para el Derecho Mercantil Internacional; o, - al Centro Internacional de Arreglo de Diferencias Relativas a Inversiones (CIADI.) creado por el «Convenio sobre el arreglo de diferencias relativas a inversiones entre Estados y nacionales de otros Estados», abierto a la firma en Washingt</w:t>
      </w:r>
      <w:r>
        <w:rPr>
          <w:rFonts w:ascii="Verdana" w:hAnsi="Verdana" w:cs="Times New Roman"/>
          <w:i/>
          <w:sz w:val="18"/>
          <w:szCs w:val="18"/>
        </w:rPr>
        <w:t>on el 18 de m</w:t>
      </w:r>
      <w:r w:rsidRPr="003700E8">
        <w:rPr>
          <w:rFonts w:ascii="Verdana" w:hAnsi="Verdana" w:cs="Times New Roman"/>
          <w:i/>
          <w:sz w:val="18"/>
          <w:szCs w:val="18"/>
        </w:rPr>
        <w:t>arzo de 1965, cuando cada uno de los Estados Partes en el presente Acuerdo se haya adherido a aquél. En caso de que una de las Partes Contratantes no fuera Estado Contratante del citado Convenio, la controversia se resolverá conforme al Mecanismo Complementario para la Administración de Procedimientos de Conciliación, Arbitraje y Comprobación de Hechos por la Secretaría del CIADI”, disponible en:</w:t>
      </w:r>
      <w:r w:rsidRPr="003700E8">
        <w:rPr>
          <w:rFonts w:ascii="Verdana" w:hAnsi="Verdana"/>
          <w:sz w:val="18"/>
          <w:szCs w:val="18"/>
        </w:rPr>
        <w:t xml:space="preserve"> </w:t>
      </w:r>
      <w:hyperlink r:id="rId13" w:history="1">
        <w:r w:rsidRPr="003700E8">
          <w:rPr>
            <w:rStyle w:val="Hipervnculo"/>
            <w:rFonts w:ascii="Verdana" w:hAnsi="Verdana" w:cs="Times New Roman"/>
            <w:i/>
            <w:sz w:val="18"/>
            <w:szCs w:val="18"/>
          </w:rPr>
          <w:t>http://investmentpolicyhub.unctad.org/Download/TreatyFile/4847</w:t>
        </w:r>
      </w:hyperlink>
      <w:r w:rsidRPr="003700E8">
        <w:rPr>
          <w:rFonts w:ascii="Verdana" w:hAnsi="Verdana" w:cs="Times New Roman"/>
          <w:i/>
          <w:sz w:val="18"/>
          <w:szCs w:val="18"/>
        </w:rPr>
        <w:t xml:space="preserve">. </w:t>
      </w:r>
      <w:r w:rsidRPr="003700E8">
        <w:rPr>
          <w:rFonts w:ascii="Verdana" w:hAnsi="Verdana" w:cs="Times New Roman"/>
          <w:sz w:val="18"/>
          <w:szCs w:val="18"/>
        </w:rPr>
        <w:t>Todos los sit</w:t>
      </w:r>
      <w:r>
        <w:rPr>
          <w:rFonts w:ascii="Verdana" w:hAnsi="Verdana" w:cs="Times New Roman"/>
          <w:sz w:val="18"/>
          <w:szCs w:val="18"/>
        </w:rPr>
        <w:t>ios web fueron consultados el 14/05</w:t>
      </w:r>
      <w:r w:rsidRPr="003700E8">
        <w:rPr>
          <w:rFonts w:ascii="Verdana" w:hAnsi="Verdana" w:cs="Times New Roman"/>
          <w:sz w:val="18"/>
          <w:szCs w:val="18"/>
        </w:rPr>
        <w:t>/2019.</w:t>
      </w:r>
      <w:r w:rsidRPr="003700E8">
        <w:rPr>
          <w:rFonts w:ascii="Verdana" w:hAnsi="Verdana" w:cs="Times New Roman"/>
          <w:i/>
          <w:sz w:val="18"/>
          <w:szCs w:val="18"/>
        </w:rPr>
        <w:t xml:space="preserve"> </w:t>
      </w:r>
    </w:p>
  </w:footnote>
  <w:footnote w:id="46">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podemos citar como ejemplo</w:t>
      </w:r>
      <w:r>
        <w:rPr>
          <w:rFonts w:ascii="Verdana" w:hAnsi="Verdana" w:cs="Times New Roman"/>
          <w:sz w:val="18"/>
          <w:szCs w:val="18"/>
        </w:rPr>
        <w:t>:</w:t>
      </w:r>
      <w:r w:rsidRPr="003700E8">
        <w:rPr>
          <w:rFonts w:ascii="Verdana" w:hAnsi="Verdana" w:cs="Times New Roman"/>
          <w:sz w:val="18"/>
          <w:szCs w:val="18"/>
        </w:rPr>
        <w:t xml:space="preserve"> El Protocolo de Cooperación y Facilitación de Inversiones Intra Mercosur, de fecha 07/04/2017. </w:t>
      </w:r>
    </w:p>
  </w:footnote>
  <w:footnote w:id="47">
    <w:p w:rsidR="006E10EA" w:rsidRPr="003700E8" w:rsidRDefault="006E10EA" w:rsidP="00FC5991">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Tal y como reconoce el Artículo 1.3 del Reglamento sobre la Transparencia, el cual establece: “</w:t>
      </w:r>
      <w:r w:rsidRPr="003700E8">
        <w:rPr>
          <w:rFonts w:ascii="Verdana" w:hAnsi="Verdana" w:cs="Times New Roman"/>
          <w:i/>
          <w:sz w:val="18"/>
          <w:szCs w:val="18"/>
        </w:rPr>
        <w:t>En todo arbitraje en que sea aplicable el Reglamento sobre la Transparencia de conformidad con un tratado o con un acuerdo por las partes en ese tratado</w:t>
      </w:r>
      <w:r w:rsidRPr="003700E8">
        <w:rPr>
          <w:rFonts w:ascii="Verdana" w:hAnsi="Verdana" w:cs="Times New Roman"/>
          <w:sz w:val="18"/>
          <w:szCs w:val="18"/>
        </w:rPr>
        <w:t>”.</w:t>
      </w:r>
    </w:p>
  </w:footnote>
  <w:footnote w:id="48">
    <w:p w:rsidR="006E10EA" w:rsidRPr="00147742" w:rsidRDefault="006E10EA" w:rsidP="00DF3916">
      <w:pPr>
        <w:pStyle w:val="Textonotapie"/>
        <w:rPr>
          <w:rFonts w:ascii="Times New Roman" w:hAnsi="Times New Roman" w:cs="Times New Roman"/>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Artículo 1.3 a) establece que: “</w:t>
      </w:r>
      <w:r w:rsidRPr="003700E8">
        <w:rPr>
          <w:rFonts w:ascii="Verdana" w:hAnsi="Verdana" w:cs="Times New Roman"/>
          <w:i/>
          <w:sz w:val="18"/>
          <w:szCs w:val="18"/>
        </w:rPr>
        <w:t>las partes litigantes no podrán apartarse de este Reglamento, ni mediante acuerdo ni de ningún otro modo, a menos que el tratado se lo permita”</w:t>
      </w:r>
      <w:r w:rsidRPr="003700E8">
        <w:rPr>
          <w:rFonts w:ascii="Verdana" w:hAnsi="Verdana" w:cs="Times New Roman"/>
          <w:sz w:val="18"/>
          <w:szCs w:val="18"/>
        </w:rPr>
        <w:t>.</w:t>
      </w:r>
    </w:p>
  </w:footnote>
  <w:footnote w:id="49">
    <w:p w:rsidR="006E10EA" w:rsidRPr="0044757C" w:rsidRDefault="006E10EA">
      <w:pPr>
        <w:pStyle w:val="Textonotapie"/>
        <w:rPr>
          <w:rFonts w:ascii="Verdana" w:hAnsi="Verdana" w:cs="Times New Roman"/>
          <w:sz w:val="18"/>
          <w:szCs w:val="18"/>
          <w:lang w:val="es-MX"/>
        </w:rPr>
      </w:pPr>
      <w:r w:rsidRPr="0044757C">
        <w:rPr>
          <w:rStyle w:val="Refdenotaalpie"/>
          <w:rFonts w:ascii="Verdana" w:hAnsi="Verdana" w:cs="Times New Roman"/>
          <w:sz w:val="18"/>
          <w:szCs w:val="18"/>
        </w:rPr>
        <w:footnoteRef/>
      </w:r>
      <w:r>
        <w:rPr>
          <w:rFonts w:ascii="Verdana" w:hAnsi="Verdana" w:cs="Times New Roman"/>
          <w:sz w:val="18"/>
          <w:szCs w:val="18"/>
        </w:rPr>
        <w:t xml:space="preserve"> </w:t>
      </w:r>
      <w:r w:rsidRPr="00707381">
        <w:rPr>
          <w:rFonts w:ascii="Verdana" w:hAnsi="Verdana" w:cs="Times New Roman"/>
          <w:sz w:val="18"/>
          <w:szCs w:val="18"/>
        </w:rPr>
        <w:t xml:space="preserve">SCHLEE, P. “Transparência em arbitragens internacionais investidor-Estado”, </w:t>
      </w:r>
      <w:r w:rsidRPr="00707381">
        <w:rPr>
          <w:rFonts w:ascii="Verdana" w:hAnsi="Verdana" w:cs="Times New Roman"/>
          <w:i/>
          <w:sz w:val="18"/>
          <w:szCs w:val="18"/>
        </w:rPr>
        <w:t>Revista de la Secretaría del Tribunal Permanente de Revisión</w:t>
      </w:r>
      <w:r w:rsidRPr="00707381">
        <w:rPr>
          <w:rFonts w:ascii="Verdana" w:hAnsi="Verdana" w:cs="Times New Roman"/>
          <w:sz w:val="18"/>
          <w:szCs w:val="18"/>
        </w:rPr>
        <w:t>. Año 3, No. 5, 2015</w:t>
      </w:r>
      <w:r w:rsidRPr="0044757C">
        <w:rPr>
          <w:rFonts w:ascii="Verdana" w:hAnsi="Verdana" w:cs="Times New Roman"/>
          <w:sz w:val="18"/>
          <w:szCs w:val="18"/>
        </w:rPr>
        <w:t>, p. 106.</w:t>
      </w:r>
    </w:p>
  </w:footnote>
  <w:footnote w:id="50">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El Artículo 1.3 b) del Reglamento sobre la Transparencia establece: “</w:t>
      </w:r>
      <w:r w:rsidRPr="0044757C">
        <w:rPr>
          <w:rFonts w:ascii="Verdana" w:hAnsi="Verdana" w:cs="Times New Roman"/>
          <w:i/>
          <w:sz w:val="18"/>
          <w:szCs w:val="18"/>
        </w:rPr>
        <w:t>El tribunal, al margen de las facultades discrecionales que le confieren algunas disposiciones de este Reglamento, estará facultado para adoptar los requisitos de cualquiera de sus disposiciones concretas a las circunstancias del caso, tras celebrar consultas con las partes litigantes, si esa adaptación resulta necesaria para que el arbitraje se lleve a cabo de una forma práctica y si es coherente con el objetivo de transparencia de este Reglamento</w:t>
      </w:r>
      <w:r w:rsidRPr="0044757C">
        <w:rPr>
          <w:rFonts w:ascii="Verdana" w:hAnsi="Verdana" w:cs="Times New Roman"/>
          <w:sz w:val="18"/>
          <w:szCs w:val="18"/>
        </w:rPr>
        <w:t>”.</w:t>
      </w:r>
    </w:p>
  </w:footnote>
  <w:footnote w:id="51">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lang w:val="en-US"/>
        </w:rPr>
        <w:t xml:space="preserve"> Véase, al respecto, el caso </w:t>
      </w:r>
      <w:bookmarkStart w:id="27" w:name="_Hlk491133088"/>
      <w:r w:rsidRPr="0044757C">
        <w:rPr>
          <w:rFonts w:ascii="Verdana" w:hAnsi="Verdana" w:cs="Times New Roman"/>
          <w:i/>
          <w:sz w:val="18"/>
          <w:szCs w:val="18"/>
          <w:lang w:val="en-US"/>
        </w:rPr>
        <w:t>BSG Resources Limited, BSG Resources (Guinea) Limited and BSG Resources (Guinea) SÀRL vs. Republic of Guinea</w:t>
      </w:r>
      <w:r w:rsidRPr="0044757C">
        <w:rPr>
          <w:rFonts w:ascii="Verdana" w:hAnsi="Verdana" w:cs="Times New Roman"/>
          <w:sz w:val="18"/>
          <w:szCs w:val="18"/>
          <w:lang w:val="en-US"/>
        </w:rPr>
        <w:t xml:space="preserve">, ICSID Case No. </w:t>
      </w:r>
      <w:r w:rsidRPr="0044757C">
        <w:rPr>
          <w:rFonts w:ascii="Verdana" w:hAnsi="Verdana" w:cs="Times New Roman"/>
          <w:sz w:val="18"/>
          <w:szCs w:val="18"/>
        </w:rPr>
        <w:t>ARB/14/22</w:t>
      </w:r>
      <w:bookmarkEnd w:id="27"/>
      <w:r w:rsidRPr="0044757C">
        <w:rPr>
          <w:rFonts w:ascii="Verdana" w:hAnsi="Verdana" w:cs="Times New Roman"/>
          <w:sz w:val="18"/>
          <w:szCs w:val="18"/>
        </w:rPr>
        <w:t xml:space="preserve">. Procedural Order No. 2, “Transparency”, 2015, páragrahp 10; en el cual, el propio tribunal, una vez las Partes han acordado la aplicación del Reglamento sobre Transparencia, reconoce que llevará a cabo la ampliación de los algunos aspectos del Reglamento, estableciendo normas específicas para su aplicación; una vez aceptado por el CIADI, institución que administra dicho arbitraje. </w:t>
      </w:r>
    </w:p>
  </w:footnote>
  <w:footnote w:id="52">
    <w:p w:rsidR="006E10EA" w:rsidRPr="003F7601" w:rsidRDefault="006E10EA">
      <w:pPr>
        <w:pStyle w:val="Textonotapie"/>
        <w:rPr>
          <w:rFonts w:ascii="Times New Roman" w:hAnsi="Times New Roman" w:cs="Times New Roman"/>
        </w:rPr>
      </w:pPr>
      <w:r w:rsidRPr="0044757C">
        <w:rPr>
          <w:rStyle w:val="Refdenotaalpie"/>
          <w:rFonts w:ascii="Verdana" w:hAnsi="Verdana" w:cs="Times New Roman"/>
          <w:sz w:val="18"/>
          <w:szCs w:val="18"/>
        </w:rPr>
        <w:footnoteRef/>
      </w:r>
      <w:r w:rsidRPr="0044757C">
        <w:rPr>
          <w:rFonts w:ascii="Verdana" w:hAnsi="Verdana" w:cs="Times New Roman"/>
          <w:sz w:val="18"/>
          <w:szCs w:val="18"/>
          <w:lang w:val="en-US"/>
        </w:rPr>
        <w:t xml:space="preserve"> Al respecto, en el caso </w:t>
      </w:r>
      <w:r w:rsidRPr="0044757C">
        <w:rPr>
          <w:rFonts w:ascii="Verdana" w:hAnsi="Verdana" w:cs="Times New Roman"/>
          <w:i/>
          <w:sz w:val="18"/>
          <w:szCs w:val="18"/>
          <w:lang w:val="en-US"/>
        </w:rPr>
        <w:t>BSG Resources Limited, BSG Resources (Guinea) Limited and BSG Resources (Guinea) SÀRL vs. Republic of Guinea</w:t>
      </w:r>
      <w:r w:rsidRPr="0044757C">
        <w:rPr>
          <w:rFonts w:ascii="Verdana" w:hAnsi="Verdana" w:cs="Times New Roman"/>
          <w:sz w:val="18"/>
          <w:szCs w:val="18"/>
          <w:lang w:val="en-US"/>
        </w:rPr>
        <w:t xml:space="preserve">, ICSID Case No. </w:t>
      </w:r>
      <w:r w:rsidRPr="0044757C">
        <w:rPr>
          <w:rFonts w:ascii="Verdana" w:hAnsi="Verdana" w:cs="Times New Roman"/>
          <w:sz w:val="18"/>
          <w:szCs w:val="18"/>
        </w:rPr>
        <w:t xml:space="preserve">ARB/14/22. El tribunal respondiendo una petición de una de las partes para que se tuvieran en cuenta las Reglas de la IBA, expresó: </w:t>
      </w:r>
      <w:r w:rsidRPr="0044757C">
        <w:rPr>
          <w:rFonts w:ascii="Verdana" w:hAnsi="Verdana" w:cs="Times New Roman"/>
          <w:i/>
          <w:sz w:val="18"/>
          <w:szCs w:val="18"/>
        </w:rPr>
        <w:t xml:space="preserve">Finally, the Tribunal observes that the IBA Rules on the Taking of Evidence (the “IBA Rules”) are unhelpful in the present context. </w:t>
      </w:r>
      <w:r w:rsidRPr="0044757C">
        <w:rPr>
          <w:rFonts w:ascii="Verdana" w:hAnsi="Verdana" w:cs="Times New Roman"/>
          <w:i/>
          <w:sz w:val="18"/>
          <w:szCs w:val="18"/>
          <w:lang w:val="en-US"/>
        </w:rPr>
        <w:t>Indeed, they address a distinct issue, i.e. whether certain documents may become part of the record, while the Transparency Rules and PO2 address whether documents already in the record can be made public. Admittedly, some of the relevant considerations for the purposes of exceptions to transparency under the Transparency Rules may overlap with aspects pertinent to exemptions from production under the IBA Rules (e.g. in respect of Art. 7(2)(a) and (c)). One should, however, not lose sight of the fact that the goal of the exercise carried out here is a different one;</w:t>
      </w:r>
      <w:r w:rsidRPr="0044757C">
        <w:rPr>
          <w:rFonts w:ascii="Verdana" w:hAnsi="Verdana" w:cs="Times New Roman"/>
          <w:sz w:val="18"/>
          <w:szCs w:val="18"/>
          <w:lang w:val="en-US"/>
        </w:rPr>
        <w:t xml:space="preserve"> continuando en el párrafo siguiente respecto a la determinación: </w:t>
      </w:r>
      <w:r w:rsidRPr="0044757C">
        <w:rPr>
          <w:rFonts w:ascii="Verdana" w:hAnsi="Verdana" w:cs="Times New Roman"/>
          <w:i/>
          <w:sz w:val="18"/>
          <w:szCs w:val="18"/>
          <w:lang w:val="en-US"/>
        </w:rPr>
        <w:t xml:space="preserve">Applying the legal framework set out above, the Tribunal makes the following determinations. For the sake of procedural economy and efficiency, it provides its decision and its main reason(s) for it in bullet point format. It does so after having reviewed the Parties’ arguments and the relevant tests arising from the applicable legal framework. </w:t>
      </w:r>
      <w:r w:rsidRPr="0044757C">
        <w:rPr>
          <w:rFonts w:ascii="Verdana" w:hAnsi="Verdana" w:cs="Times New Roman"/>
          <w:sz w:val="18"/>
          <w:szCs w:val="18"/>
        </w:rPr>
        <w:t>Procedural Order No. 4, “Respondent’s Objection to Publication”, 2015, páragrahp 5 y 6.</w:t>
      </w:r>
    </w:p>
  </w:footnote>
  <w:footnote w:id="53">
    <w:p w:rsidR="006E10EA" w:rsidRPr="0044757C" w:rsidRDefault="006E10EA" w:rsidP="00954617">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Al respecto el Artículo 1.4 del Reglamento sobre la Transparencia establece: “</w:t>
      </w:r>
      <w:r w:rsidRPr="0044757C">
        <w:rPr>
          <w:rFonts w:ascii="Verdana" w:hAnsi="Verdana" w:cs="Times New Roman"/>
          <w:i/>
          <w:sz w:val="18"/>
          <w:szCs w:val="18"/>
        </w:rPr>
        <w:t>Cuando el Reglamento sobre la Transparencia establezca que el tribunal arbitral tendrá facultades discrecionales, en el ejercicio de tales facultades el tribunal arbitral tendrá en cuenta..(…)</w:t>
      </w:r>
      <w:r w:rsidRPr="0044757C">
        <w:rPr>
          <w:rFonts w:ascii="Verdana" w:hAnsi="Verdana" w:cs="Times New Roman"/>
          <w:sz w:val="18"/>
          <w:szCs w:val="18"/>
        </w:rPr>
        <w:t>”.</w:t>
      </w:r>
    </w:p>
  </w:footnote>
  <w:footnote w:id="54">
    <w:p w:rsidR="006E10EA" w:rsidRPr="0044757C" w:rsidRDefault="006E10EA" w:rsidP="00664B3B">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El artículo 1.4 a) del Reglamento sobre la Transparencia establece: “</w:t>
      </w:r>
      <w:r w:rsidRPr="0044757C">
        <w:rPr>
          <w:rFonts w:ascii="Verdana" w:hAnsi="Verdana" w:cs="Times New Roman"/>
          <w:i/>
          <w:sz w:val="18"/>
          <w:szCs w:val="18"/>
        </w:rPr>
        <w:t>El interés público en la transparencia de los arbitrajes entre inversionistas y Estados entablados en el marco de un tratado y del procedimiento arbitral en particular</w:t>
      </w:r>
      <w:r w:rsidRPr="0044757C">
        <w:rPr>
          <w:rFonts w:ascii="Verdana" w:hAnsi="Verdana" w:cs="Times New Roman"/>
          <w:sz w:val="18"/>
          <w:szCs w:val="18"/>
        </w:rPr>
        <w:t>”.</w:t>
      </w:r>
    </w:p>
  </w:footnote>
  <w:footnote w:id="55">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En ese sentido, el Artículo 1.4 b) reconoce: “</w:t>
      </w:r>
      <w:r w:rsidRPr="0044757C">
        <w:rPr>
          <w:rFonts w:ascii="Verdana" w:hAnsi="Verdana" w:cs="Times New Roman"/>
          <w:i/>
          <w:sz w:val="18"/>
          <w:szCs w:val="18"/>
        </w:rPr>
        <w:t>El interés de las partes litigantes en que la controversia se resuelva de manera justa y eficiente</w:t>
      </w:r>
      <w:r w:rsidRPr="0044757C">
        <w:rPr>
          <w:rFonts w:ascii="Verdana" w:hAnsi="Verdana" w:cs="Times New Roman"/>
          <w:sz w:val="18"/>
          <w:szCs w:val="18"/>
        </w:rPr>
        <w:t>”.</w:t>
      </w:r>
    </w:p>
  </w:footnote>
  <w:footnote w:id="56">
    <w:p w:rsidR="006E10EA" w:rsidRPr="003F7601" w:rsidRDefault="006E10EA" w:rsidP="00F86B8C">
      <w:pPr>
        <w:pStyle w:val="Textonotapie"/>
        <w:rPr>
          <w:rFonts w:ascii="Times New Roman" w:hAnsi="Times New Roman" w:cs="Times New Roman"/>
        </w:rPr>
      </w:pPr>
      <w:r w:rsidRPr="0044757C">
        <w:rPr>
          <w:rStyle w:val="Refdenotaalpie"/>
          <w:rFonts w:ascii="Verdana" w:hAnsi="Verdana" w:cs="Times New Roman"/>
          <w:sz w:val="18"/>
          <w:szCs w:val="18"/>
        </w:rPr>
        <w:footnoteRef/>
      </w:r>
      <w:r w:rsidRPr="0044757C">
        <w:rPr>
          <w:rFonts w:ascii="Verdana" w:hAnsi="Verdana" w:cs="Times New Roman"/>
          <w:sz w:val="18"/>
          <w:szCs w:val="18"/>
          <w:lang w:val="en-US"/>
        </w:rPr>
        <w:t xml:space="preserve"> Al respecto, véase, el caso </w:t>
      </w:r>
      <w:bookmarkStart w:id="30" w:name="_Hlk491045263"/>
      <w:bookmarkStart w:id="31" w:name="_Hlk491013024"/>
      <w:r w:rsidRPr="0044757C">
        <w:rPr>
          <w:rFonts w:ascii="Verdana" w:hAnsi="Verdana" w:cs="Times New Roman"/>
          <w:i/>
          <w:sz w:val="18"/>
          <w:szCs w:val="18"/>
          <w:lang w:val="en-US"/>
        </w:rPr>
        <w:t>BSG Resources Limited, BSG Resources (Guinea) Limited and BSG Resources (Guinea) SÀRL vs. Republic of Guinea</w:t>
      </w:r>
      <w:r w:rsidRPr="0044757C">
        <w:rPr>
          <w:rFonts w:ascii="Verdana" w:hAnsi="Verdana" w:cs="Times New Roman"/>
          <w:sz w:val="18"/>
          <w:szCs w:val="18"/>
          <w:lang w:val="en-US"/>
        </w:rPr>
        <w:t xml:space="preserve">, ICSID Case No. </w:t>
      </w:r>
      <w:r w:rsidRPr="0044757C">
        <w:rPr>
          <w:rFonts w:ascii="Verdana" w:hAnsi="Verdana" w:cs="Times New Roman"/>
          <w:sz w:val="18"/>
          <w:szCs w:val="18"/>
        </w:rPr>
        <w:t xml:space="preserve">ARB/14/22. </w:t>
      </w:r>
      <w:bookmarkStart w:id="32" w:name="_Hlk491133633"/>
      <w:r w:rsidRPr="0044757C">
        <w:rPr>
          <w:rFonts w:ascii="Verdana" w:hAnsi="Verdana" w:cs="Times New Roman"/>
          <w:sz w:val="18"/>
          <w:szCs w:val="18"/>
        </w:rPr>
        <w:t>Procedural Order No. 4, “Respondent’s Objection to Publication”, páragrahp 4</w:t>
      </w:r>
      <w:bookmarkEnd w:id="30"/>
      <w:r w:rsidRPr="0044757C">
        <w:rPr>
          <w:rFonts w:ascii="Verdana" w:hAnsi="Verdana" w:cs="Times New Roman"/>
          <w:sz w:val="18"/>
          <w:szCs w:val="18"/>
        </w:rPr>
        <w:t>, 2015.</w:t>
      </w:r>
      <w:bookmarkEnd w:id="31"/>
    </w:p>
    <w:bookmarkEnd w:id="32"/>
  </w:footnote>
  <w:footnote w:id="57">
    <w:p w:rsidR="006E10EA" w:rsidRPr="0044757C" w:rsidRDefault="006E10EA" w:rsidP="000B40C6">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Pr>
          <w:rFonts w:ascii="Verdana" w:hAnsi="Verdana" w:cs="Times New Roman"/>
          <w:sz w:val="18"/>
          <w:szCs w:val="18"/>
        </w:rPr>
        <w:t xml:space="preserve"> </w:t>
      </w:r>
      <w:r w:rsidRPr="006C48EE">
        <w:rPr>
          <w:rFonts w:ascii="Verdana" w:hAnsi="Verdana" w:cs="Times New Roman"/>
          <w:sz w:val="18"/>
          <w:szCs w:val="18"/>
        </w:rPr>
        <w:t>FERNÁNEZ ARROYO,</w:t>
      </w:r>
      <w:r>
        <w:rPr>
          <w:rFonts w:ascii="Verdana" w:hAnsi="Verdana" w:cs="Times New Roman"/>
          <w:sz w:val="18"/>
          <w:szCs w:val="18"/>
        </w:rPr>
        <w:t xml:space="preserve"> D.</w:t>
      </w:r>
      <w:r w:rsidRPr="0044757C">
        <w:rPr>
          <w:rFonts w:ascii="Verdana" w:hAnsi="Verdana" w:cs="Times New Roman"/>
          <w:sz w:val="18"/>
          <w:szCs w:val="18"/>
        </w:rPr>
        <w:t xml:space="preserve"> “La Transparencia como paradigma del arbitraje de inversiones”, en TANZI, A., ASTERITI, A.</w:t>
      </w:r>
      <w:r>
        <w:rPr>
          <w:rFonts w:ascii="Verdana" w:hAnsi="Verdana" w:cs="Times New Roman"/>
          <w:sz w:val="18"/>
          <w:szCs w:val="18"/>
        </w:rPr>
        <w:t>, POLANCO LAZO, R., TURRINI, P.</w:t>
      </w:r>
      <w:r w:rsidRPr="0044757C">
        <w:rPr>
          <w:rFonts w:ascii="Verdana" w:hAnsi="Verdana" w:cs="Times New Roman"/>
          <w:sz w:val="18"/>
          <w:szCs w:val="18"/>
        </w:rPr>
        <w:t xml:space="preserve"> </w:t>
      </w:r>
      <w:r w:rsidRPr="0044757C">
        <w:rPr>
          <w:rFonts w:ascii="Verdana" w:hAnsi="Verdana" w:cs="Times New Roman"/>
          <w:i/>
          <w:sz w:val="18"/>
          <w:szCs w:val="18"/>
        </w:rPr>
        <w:t>Derecho internacional de las inversiones en América Latina: problemas y perspectivas</w:t>
      </w:r>
      <w:r w:rsidRPr="0044757C">
        <w:rPr>
          <w:rFonts w:ascii="Verdana" w:hAnsi="Verdana" w:cs="Times New Roman"/>
          <w:sz w:val="18"/>
          <w:szCs w:val="18"/>
        </w:rPr>
        <w:t>, Brill Nijhoff, Netherlands, 2016, p, 268.</w:t>
      </w:r>
    </w:p>
  </w:footnote>
  <w:footnote w:id="58">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Pr>
          <w:rFonts w:ascii="Verdana" w:hAnsi="Verdana" w:cs="Times New Roman"/>
          <w:sz w:val="18"/>
          <w:szCs w:val="18"/>
        </w:rPr>
        <w:t xml:space="preserve"> E</w:t>
      </w:r>
      <w:r w:rsidRPr="0044757C">
        <w:rPr>
          <w:rFonts w:ascii="Verdana" w:hAnsi="Verdana" w:cs="Times New Roman"/>
          <w:sz w:val="18"/>
          <w:szCs w:val="18"/>
        </w:rPr>
        <w:t>l Artículo 1.5 del Reglamento sobre la Transparencia, establece: “</w:t>
      </w:r>
      <w:r w:rsidRPr="0044757C">
        <w:rPr>
          <w:rFonts w:ascii="Verdana" w:hAnsi="Verdana" w:cs="Times New Roman"/>
          <w:i/>
          <w:sz w:val="18"/>
          <w:szCs w:val="18"/>
        </w:rPr>
        <w:t>Este Reglamento no afectará a la autoridad que pueda tener el tribunal arbitral en virtud del Reglamento de arbitraje de la CNUDMI para dirigir el arbitraje de tal forma que se promueva la transparencia, por ejemplo, aceptando escritos presentados por terceros</w:t>
      </w:r>
      <w:r w:rsidRPr="0044757C">
        <w:rPr>
          <w:rFonts w:ascii="Verdana" w:hAnsi="Verdana" w:cs="Times New Roman"/>
          <w:sz w:val="18"/>
          <w:szCs w:val="18"/>
        </w:rPr>
        <w:t>”.</w:t>
      </w:r>
    </w:p>
  </w:footnote>
  <w:footnote w:id="59">
    <w:p w:rsidR="006E10EA" w:rsidRPr="0044757C" w:rsidRDefault="006E10EA">
      <w:pPr>
        <w:pStyle w:val="Textonotapie"/>
        <w:rPr>
          <w:rFonts w:ascii="Verdana" w:hAnsi="Verdana" w:cs="Times New Roman"/>
          <w:sz w:val="18"/>
          <w:szCs w:val="18"/>
          <w:lang w:val="en-US"/>
        </w:rPr>
      </w:pPr>
      <w:r w:rsidRPr="0044757C">
        <w:rPr>
          <w:rStyle w:val="Refdenotaalpie"/>
          <w:rFonts w:ascii="Verdana" w:hAnsi="Verdana" w:cs="Times New Roman"/>
          <w:sz w:val="18"/>
          <w:szCs w:val="18"/>
        </w:rPr>
        <w:footnoteRef/>
      </w:r>
      <w:r w:rsidRPr="0044757C">
        <w:rPr>
          <w:rFonts w:ascii="Verdana" w:hAnsi="Verdana" w:cs="Times New Roman"/>
          <w:sz w:val="18"/>
          <w:szCs w:val="18"/>
          <w:lang w:val="en-US"/>
        </w:rPr>
        <w:t xml:space="preserve"> </w:t>
      </w:r>
      <w:bookmarkStart w:id="33" w:name="_Hlk491126304"/>
      <w:r w:rsidRPr="0044757C">
        <w:rPr>
          <w:rFonts w:ascii="Verdana" w:hAnsi="Verdana" w:cs="Times New Roman"/>
          <w:sz w:val="18"/>
          <w:szCs w:val="18"/>
          <w:lang w:val="en-US"/>
        </w:rPr>
        <w:t>JOHNSON, L., BERNASCONI-OSTERWALDER, N. New UNCITRAL Arbitration Rules…</w:t>
      </w:r>
      <w:r w:rsidRPr="0044757C">
        <w:rPr>
          <w:rFonts w:ascii="Verdana" w:hAnsi="Verdana" w:cs="Times New Roman"/>
          <w:i/>
          <w:sz w:val="18"/>
          <w:szCs w:val="18"/>
          <w:lang w:val="en-US"/>
        </w:rPr>
        <w:t>op.cit</w:t>
      </w:r>
      <w:r w:rsidRPr="0044757C">
        <w:rPr>
          <w:rFonts w:ascii="Verdana" w:hAnsi="Verdana" w:cs="Times New Roman"/>
          <w:sz w:val="18"/>
          <w:szCs w:val="18"/>
          <w:lang w:val="en-US"/>
        </w:rPr>
        <w:t>…p. 12.</w:t>
      </w:r>
      <w:bookmarkEnd w:id="33"/>
    </w:p>
  </w:footnote>
  <w:footnote w:id="60">
    <w:p w:rsidR="006E10EA" w:rsidRPr="0044757C" w:rsidRDefault="006E10EA">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A estos efectos, el Artículo 1.6 establece: “</w:t>
      </w:r>
      <w:r w:rsidRPr="0044757C">
        <w:rPr>
          <w:rFonts w:ascii="Verdana" w:hAnsi="Verdana" w:cs="Times New Roman"/>
          <w:i/>
          <w:sz w:val="18"/>
          <w:szCs w:val="18"/>
        </w:rPr>
        <w:t>Ante cualquier conducta, medida u otra acción que tenga el efecto de menoscabar por completo los objetivos de transparencia del presente Reglamento, el tribunal arbitral se asegurará de que prevalezcan dichos objetivos</w:t>
      </w:r>
      <w:r w:rsidRPr="0044757C">
        <w:rPr>
          <w:rFonts w:ascii="Verdana" w:hAnsi="Verdana" w:cs="Times New Roman"/>
          <w:sz w:val="18"/>
          <w:szCs w:val="18"/>
        </w:rPr>
        <w:t>”.</w:t>
      </w:r>
    </w:p>
  </w:footnote>
  <w:footnote w:id="61">
    <w:p w:rsidR="006E10EA" w:rsidRPr="00AD1545" w:rsidRDefault="006E10EA">
      <w:pPr>
        <w:pStyle w:val="Textonotapie"/>
        <w:rPr>
          <w:lang w:val="es-MX"/>
        </w:rPr>
      </w:pPr>
      <w:r w:rsidRPr="0044757C">
        <w:rPr>
          <w:rStyle w:val="Refdenotaalpie"/>
          <w:rFonts w:ascii="Verdana" w:hAnsi="Verdana"/>
          <w:sz w:val="18"/>
          <w:szCs w:val="18"/>
        </w:rPr>
        <w:footnoteRef/>
      </w:r>
      <w:r w:rsidRPr="0044757C">
        <w:rPr>
          <w:rFonts w:ascii="Verdana" w:hAnsi="Verdana"/>
          <w:sz w:val="18"/>
          <w:szCs w:val="18"/>
        </w:rPr>
        <w:t xml:space="preserve"> </w:t>
      </w:r>
      <w:r w:rsidRPr="0044757C">
        <w:rPr>
          <w:rFonts w:ascii="Verdana" w:hAnsi="Verdana" w:cs="Times New Roman"/>
          <w:sz w:val="18"/>
          <w:szCs w:val="18"/>
          <w:lang w:val="en-US"/>
        </w:rPr>
        <w:t xml:space="preserve">Véase, el caso </w:t>
      </w:r>
      <w:bookmarkStart w:id="34" w:name="_Hlk491044301"/>
      <w:r w:rsidRPr="0044757C">
        <w:rPr>
          <w:rFonts w:ascii="Verdana" w:hAnsi="Verdana" w:cs="Times New Roman"/>
          <w:i/>
          <w:sz w:val="18"/>
          <w:szCs w:val="18"/>
          <w:lang w:val="en-US"/>
        </w:rPr>
        <w:t>BSG Resources Limited, BSG Resources (Guinea) Limited and BSG Resources (Guinea) SÀRL vs. Republic of Guinea</w:t>
      </w:r>
      <w:r w:rsidRPr="0044757C">
        <w:rPr>
          <w:rFonts w:ascii="Verdana" w:hAnsi="Verdana" w:cs="Times New Roman"/>
          <w:sz w:val="18"/>
          <w:szCs w:val="18"/>
          <w:lang w:val="en-US"/>
        </w:rPr>
        <w:t xml:space="preserve">, ICSID Case No. </w:t>
      </w:r>
      <w:r w:rsidRPr="0044757C">
        <w:rPr>
          <w:rFonts w:ascii="Verdana" w:hAnsi="Verdana" w:cs="Times New Roman"/>
          <w:sz w:val="18"/>
          <w:szCs w:val="18"/>
        </w:rPr>
        <w:t>ARB/14/22.</w:t>
      </w:r>
      <w:r w:rsidRPr="00FB59F9">
        <w:rPr>
          <w:rFonts w:ascii="Times New Roman" w:hAnsi="Times New Roman" w:cs="Times New Roman"/>
        </w:rPr>
        <w:t xml:space="preserve"> </w:t>
      </w:r>
      <w:bookmarkEnd w:id="34"/>
    </w:p>
  </w:footnote>
  <w:footnote w:id="62">
    <w:p w:rsidR="006E10EA" w:rsidRPr="0044757C" w:rsidRDefault="006E10EA" w:rsidP="0060544D">
      <w:pPr>
        <w:pStyle w:val="Textonotapie"/>
        <w:rPr>
          <w:rFonts w:ascii="Verdana" w:hAnsi="Verdana"/>
          <w:sz w:val="18"/>
          <w:szCs w:val="18"/>
          <w:lang w:val="es-MX"/>
        </w:rPr>
      </w:pPr>
      <w:r w:rsidRPr="0044757C">
        <w:rPr>
          <w:rStyle w:val="Refdenotaalpie"/>
          <w:rFonts w:ascii="Verdana" w:hAnsi="Verdana" w:cs="Times New Roman"/>
          <w:sz w:val="18"/>
          <w:szCs w:val="18"/>
        </w:rPr>
        <w:footnoteRef/>
      </w:r>
      <w:r>
        <w:rPr>
          <w:rFonts w:ascii="Verdana" w:hAnsi="Verdana" w:cs="Times New Roman"/>
          <w:sz w:val="18"/>
          <w:szCs w:val="18"/>
        </w:rPr>
        <w:t xml:space="preserve"> </w:t>
      </w:r>
      <w:r w:rsidRPr="0044757C">
        <w:rPr>
          <w:rFonts w:ascii="Verdana" w:hAnsi="Verdana" w:cs="Times New Roman"/>
          <w:sz w:val="18"/>
          <w:szCs w:val="18"/>
        </w:rPr>
        <w:t>Procedural Order No. 4, “Respondent’s Objection to Publication”, páragrahp 4, 2015. “</w:t>
      </w:r>
      <w:r w:rsidRPr="0044757C">
        <w:rPr>
          <w:rFonts w:ascii="Verdana" w:hAnsi="Verdana" w:cs="Times New Roman"/>
          <w:i/>
          <w:sz w:val="18"/>
          <w:szCs w:val="18"/>
        </w:rPr>
        <w:t>Where there is a dispute on whether a certain document or category of documents is confidential or otherwise protected, the Tribunal will make its determination in application of the standards set out in Article 7 of the Transparency Rules. In this context, Article 1(4) of the Transparency Rules specifies that, in the exercise of its discretion, the Tribunal must take into account the public interest in transparency as well as the Parties’ interest in a fair and efficient resolution of their dispute. Further, according to Article 1(6) of the Transparency Rules, the Tribunal must ensure that the transparency objectives prevail in the face of any conduct having the effect of undermining such objectives</w:t>
      </w:r>
      <w:r w:rsidRPr="0044757C">
        <w:rPr>
          <w:rFonts w:ascii="Verdana" w:hAnsi="Verdana" w:cs="Times New Roman"/>
          <w:sz w:val="18"/>
          <w:szCs w:val="18"/>
        </w:rPr>
        <w:t>”.</w:t>
      </w:r>
    </w:p>
  </w:footnote>
  <w:footnote w:id="63">
    <w:p w:rsidR="006E10EA" w:rsidRPr="0044757C" w:rsidRDefault="006E10EA" w:rsidP="00046003">
      <w:pPr>
        <w:pStyle w:val="Textonotapie"/>
        <w:rPr>
          <w:rFonts w:ascii="Verdana" w:hAnsi="Verdana" w:cs="Times New Roman"/>
          <w:sz w:val="18"/>
          <w:szCs w:val="18"/>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El Artículo 1.7 reconoce que: “</w:t>
      </w:r>
      <w:r w:rsidRPr="0044757C">
        <w:rPr>
          <w:rFonts w:ascii="Verdana" w:hAnsi="Verdana" w:cs="Times New Roman"/>
          <w:i/>
          <w:sz w:val="18"/>
          <w:szCs w:val="18"/>
        </w:rPr>
        <w:t>Siempre que el Reglamento sobre la Transparencia sea aplicable, complementará cualquier otro reglamento de arbitraje aplicable</w:t>
      </w:r>
      <w:r w:rsidRPr="0044757C">
        <w:rPr>
          <w:rFonts w:ascii="Verdana" w:hAnsi="Verdana" w:cs="Times New Roman"/>
          <w:sz w:val="18"/>
          <w:szCs w:val="18"/>
        </w:rPr>
        <w:t xml:space="preserve"> (…)”.</w:t>
      </w:r>
    </w:p>
  </w:footnote>
  <w:footnote w:id="64">
    <w:p w:rsidR="006E10EA" w:rsidRPr="00E55668" w:rsidRDefault="006E10EA">
      <w:pPr>
        <w:pStyle w:val="Textonotapie"/>
        <w:rPr>
          <w:rFonts w:ascii="Times New Roman" w:hAnsi="Times New Roman" w:cs="Times New Roman"/>
        </w:rPr>
      </w:pPr>
      <w:r w:rsidRPr="0044757C">
        <w:rPr>
          <w:rStyle w:val="Refdenotaalpie"/>
          <w:rFonts w:ascii="Verdana" w:hAnsi="Verdana" w:cs="Times New Roman"/>
          <w:sz w:val="18"/>
          <w:szCs w:val="18"/>
        </w:rPr>
        <w:footnoteRef/>
      </w:r>
      <w:r w:rsidRPr="0044757C">
        <w:rPr>
          <w:rFonts w:ascii="Verdana" w:hAnsi="Verdana" w:cs="Times New Roman"/>
          <w:sz w:val="18"/>
          <w:szCs w:val="18"/>
        </w:rPr>
        <w:t xml:space="preserve"> A tenor de lo establecido en el Artículo 1.7 del Reglamento sobre la Transparencia: “(...) </w:t>
      </w:r>
      <w:r w:rsidRPr="0044757C">
        <w:rPr>
          <w:rFonts w:ascii="Verdana" w:hAnsi="Verdana" w:cs="Times New Roman"/>
          <w:i/>
          <w:sz w:val="18"/>
          <w:szCs w:val="18"/>
        </w:rPr>
        <w:t xml:space="preserve">cuando exista un conflicto entre el Reglamento sobre la Transparencia y el reglamento de arbitraje aplicable, prevalecerá el Reglamento sobre la Transparencia </w:t>
      </w:r>
      <w:r w:rsidRPr="0044757C">
        <w:rPr>
          <w:rFonts w:ascii="Verdana" w:hAnsi="Verdana" w:cs="Times New Roman"/>
          <w:sz w:val="18"/>
          <w:szCs w:val="18"/>
        </w:rPr>
        <w:t>(…)”.</w:t>
      </w:r>
    </w:p>
  </w:footnote>
  <w:footnote w:id="65">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propio Artículo 1.7, continúa estableciendo que: (…) “</w:t>
      </w:r>
      <w:r w:rsidRPr="00926BBB">
        <w:rPr>
          <w:rFonts w:ascii="Verdana" w:hAnsi="Verdana" w:cs="Times New Roman"/>
          <w:i/>
          <w:sz w:val="18"/>
          <w:szCs w:val="18"/>
        </w:rPr>
        <w:t>Independientemente de lo dispuesto en este Reglamento, cuando exista un conflicto entre el Reglamento sobre la Transparencia y el tratado prevalecerá lo dispuesto en el tratado</w:t>
      </w:r>
      <w:r w:rsidRPr="00926BBB">
        <w:rPr>
          <w:rFonts w:ascii="Verdana" w:hAnsi="Verdana" w:cs="Times New Roman"/>
          <w:sz w:val="18"/>
          <w:szCs w:val="18"/>
        </w:rPr>
        <w:t>”.</w:t>
      </w:r>
    </w:p>
  </w:footnote>
  <w:footnote w:id="66">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 tenor de lo establecido en el Artículo 1.8 del Reglamento sobre la Transparencia, el cual establece que: “</w:t>
      </w:r>
      <w:r w:rsidRPr="00926BBB">
        <w:rPr>
          <w:rFonts w:ascii="Verdana" w:hAnsi="Verdana" w:cs="Times New Roman"/>
          <w:i/>
          <w:sz w:val="18"/>
          <w:szCs w:val="18"/>
        </w:rPr>
        <w:t>Cuando una norma de este Reglamento esté en conflicto con una disposición del derecho aplicable al arbitraje de la que las partes no puedan apartarse, prevalecerá esa disposición</w:t>
      </w:r>
      <w:r w:rsidRPr="00926BBB">
        <w:rPr>
          <w:rFonts w:ascii="Verdana" w:hAnsi="Verdana" w:cs="Times New Roman"/>
          <w:sz w:val="18"/>
          <w:szCs w:val="18"/>
        </w:rPr>
        <w:t>”.</w:t>
      </w:r>
    </w:p>
  </w:footnote>
  <w:footnote w:id="67">
    <w:p w:rsidR="006E10EA" w:rsidRPr="00FE03CE" w:rsidRDefault="006E10EA" w:rsidP="004F2385">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Así queda reflejado en uno de los considerando de la Resolución que aprobó el Reglamento sobre la Transparencia, aprobada por la Asamblea General en fecha 16 de diciembre de 2013, sobre la base del informe de la Sexta comisión (A/68/462), cuyo tenor reconoce: “</w:t>
      </w:r>
      <w:r w:rsidRPr="00926BBB">
        <w:rPr>
          <w:rFonts w:ascii="Verdana" w:hAnsi="Verdana" w:cs="Times New Roman"/>
          <w:i/>
          <w:sz w:val="18"/>
          <w:szCs w:val="18"/>
        </w:rPr>
        <w:t>Creyendo que un reglamento sobre la transparencia en los arbitrajes entre inversionistas y Estados en el marco de un tratado contribuiría considerablemente al establecimiento de un marco jurídico armonizado para resolver de forma equitativa y eficiente las controversias internacionales en materia de inversiones, aumentar la transparencia y la rendición de cuentas y promover la buena gobernanza</w:t>
      </w:r>
      <w:r w:rsidRPr="00926BBB">
        <w:rPr>
          <w:rFonts w:ascii="Verdana" w:hAnsi="Verdana" w:cs="Times New Roman"/>
          <w:sz w:val="18"/>
          <w:szCs w:val="18"/>
        </w:rPr>
        <w:t>”.</w:t>
      </w:r>
    </w:p>
  </w:footnote>
  <w:footnote w:id="68">
    <w:p w:rsidR="006E10EA" w:rsidRPr="00926BBB" w:rsidRDefault="006E10EA" w:rsidP="00823E81">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Al respecto, véase el caso, </w:t>
      </w:r>
      <w:bookmarkStart w:id="39" w:name="_Hlk491129983"/>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Procedural Order No. 2, “Transparency”, páragrahp 9, 2015.</w:t>
      </w:r>
    </w:p>
    <w:bookmarkEnd w:id="39"/>
  </w:footnote>
  <w:footnote w:id="69">
    <w:p w:rsidR="006E10EA" w:rsidRPr="003700E8" w:rsidRDefault="006E10EA" w:rsidP="00786CC9">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Tal y como lo reconoce el Artículo 1.9 del Reglamento sobre la Transparencia: “</w:t>
      </w:r>
      <w:r w:rsidRPr="003700E8">
        <w:rPr>
          <w:rFonts w:ascii="Verdana" w:hAnsi="Verdana" w:cs="Times New Roman"/>
          <w:i/>
          <w:sz w:val="18"/>
          <w:szCs w:val="18"/>
        </w:rPr>
        <w:t>El presente Reglamento podrá aplicarse en arbitrajes entre inversionistas y Estados entablados de conformidad con otros reglamentos que no sean el Reglamento de Arbitraje de la CNUDMI o en procedimientos ad hoc</w:t>
      </w:r>
      <w:r w:rsidRPr="003700E8">
        <w:rPr>
          <w:rFonts w:ascii="Verdana" w:hAnsi="Verdana" w:cs="Times New Roman"/>
          <w:sz w:val="18"/>
          <w:szCs w:val="18"/>
        </w:rPr>
        <w:t xml:space="preserve">”. </w:t>
      </w:r>
    </w:p>
  </w:footnote>
  <w:footnote w:id="70">
    <w:p w:rsidR="006E10EA" w:rsidRPr="003700E8" w:rsidRDefault="006E10EA" w:rsidP="005E0BB4">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bookmarkStart w:id="40" w:name="_Hlk491990765"/>
      <w:r w:rsidRPr="003700E8">
        <w:rPr>
          <w:rFonts w:ascii="Verdana" w:hAnsi="Verdana" w:cs="Times New Roman"/>
          <w:sz w:val="18"/>
          <w:szCs w:val="18"/>
        </w:rPr>
        <w:t>SILVA R</w:t>
      </w:r>
      <w:r>
        <w:rPr>
          <w:rFonts w:ascii="Verdana" w:hAnsi="Verdana" w:cs="Times New Roman"/>
          <w:sz w:val="18"/>
          <w:szCs w:val="18"/>
        </w:rPr>
        <w:t>OMERO, E., FELIPE MERIZALDE, J. Cumple su finalidad</w:t>
      </w:r>
      <w:r w:rsidRPr="003700E8">
        <w:rPr>
          <w:rFonts w:ascii="Verdana" w:hAnsi="Verdana" w:cs="Times New Roman"/>
          <w:sz w:val="18"/>
          <w:szCs w:val="18"/>
        </w:rPr>
        <w:t xml:space="preserve"> …</w:t>
      </w:r>
      <w:r w:rsidRPr="003700E8">
        <w:rPr>
          <w:rFonts w:ascii="Verdana" w:hAnsi="Verdana" w:cs="Times New Roman"/>
          <w:i/>
          <w:sz w:val="18"/>
          <w:szCs w:val="18"/>
        </w:rPr>
        <w:t>op.cit</w:t>
      </w:r>
      <w:r w:rsidRPr="003700E8">
        <w:rPr>
          <w:rFonts w:ascii="Verdana" w:hAnsi="Verdana" w:cs="Times New Roman"/>
          <w:sz w:val="18"/>
          <w:szCs w:val="18"/>
        </w:rPr>
        <w:t>.., p. 191</w:t>
      </w:r>
      <w:bookmarkEnd w:id="40"/>
      <w:r w:rsidRPr="003700E8">
        <w:rPr>
          <w:rFonts w:ascii="Verdana" w:hAnsi="Verdana" w:cs="Times New Roman"/>
          <w:sz w:val="18"/>
          <w:szCs w:val="18"/>
        </w:rPr>
        <w:t>.</w:t>
      </w:r>
    </w:p>
  </w:footnote>
  <w:footnote w:id="71">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propio Artículo 2 del Reglamento sobre la Transparencia establece: “</w:t>
      </w:r>
      <w:r w:rsidRPr="003700E8">
        <w:rPr>
          <w:rFonts w:ascii="Verdana" w:hAnsi="Verdana" w:cs="Times New Roman"/>
          <w:i/>
          <w:sz w:val="18"/>
          <w:szCs w:val="18"/>
        </w:rPr>
        <w:t>Una vez que el demandado haya recibido la notificación del arbitraje, cada una de las partes litigantes transmitirá sin demora una copia de esta al archivo mencionado en el artículo 8. Tras haber recibido la notificación del arbitraje del demandado, o tras haber recibido la notificación del arbitraje y el registro de su transmisión al demandado, el archivo procederá sin demora a poner a disposición del público la información relativa al nombre de las partes litigantes, el sector económico afectado y el tratado en virtud del cual se formula la demanda</w:t>
      </w:r>
      <w:r w:rsidRPr="003700E8">
        <w:rPr>
          <w:rFonts w:ascii="Verdana" w:hAnsi="Verdana" w:cs="Times New Roman"/>
          <w:sz w:val="18"/>
          <w:szCs w:val="18"/>
        </w:rPr>
        <w:t>”.</w:t>
      </w:r>
    </w:p>
  </w:footnote>
  <w:footnote w:id="72">
    <w:p w:rsidR="006E10EA" w:rsidRPr="00926BBB" w:rsidRDefault="006E10EA" w:rsidP="003B5520">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w:t>
      </w:r>
      <w:r w:rsidRPr="00BE282A">
        <w:rPr>
          <w:rFonts w:ascii="Verdana" w:hAnsi="Verdana" w:cs="Times New Roman"/>
          <w:sz w:val="18"/>
          <w:szCs w:val="18"/>
          <w:lang w:val="en-US"/>
        </w:rPr>
        <w:t xml:space="preserve">BERNASCONI-OSTERWALDER, N., JOHNSON, </w:t>
      </w:r>
      <w:proofErr w:type="gramStart"/>
      <w:r w:rsidRPr="00BE282A">
        <w:rPr>
          <w:rFonts w:ascii="Verdana" w:hAnsi="Verdana" w:cs="Times New Roman"/>
          <w:sz w:val="18"/>
          <w:szCs w:val="18"/>
          <w:lang w:val="en-US"/>
        </w:rPr>
        <w:t>L</w:t>
      </w:r>
      <w:proofErr w:type="gramEnd"/>
      <w:r w:rsidRPr="00BE282A">
        <w:rPr>
          <w:rFonts w:ascii="Verdana" w:hAnsi="Verdana" w:cs="Times New Roman"/>
          <w:sz w:val="18"/>
          <w:szCs w:val="18"/>
          <w:lang w:val="en-US"/>
        </w:rPr>
        <w:t xml:space="preserve">. “Transparency in the dispute settlement process: Country best practices (IISD &amp; CIEL)”. </w:t>
      </w:r>
      <w:r w:rsidRPr="00BE282A">
        <w:rPr>
          <w:rFonts w:ascii="Verdana" w:hAnsi="Verdana" w:cs="Times New Roman"/>
          <w:sz w:val="18"/>
          <w:szCs w:val="18"/>
        </w:rPr>
        <w:t xml:space="preserve">Disponible en:  </w:t>
      </w:r>
      <w:hyperlink r:id="rId14" w:history="1">
        <w:r w:rsidRPr="00BE282A">
          <w:rPr>
            <w:rStyle w:val="Hipervnculo"/>
            <w:rFonts w:ascii="Verdana" w:hAnsi="Verdana" w:cs="Times New Roman"/>
            <w:sz w:val="18"/>
            <w:szCs w:val="18"/>
          </w:rPr>
          <w:t>http://www.iisd.org/publications/pub.aspx?id=1529</w:t>
        </w:r>
      </w:hyperlink>
      <w:r w:rsidRPr="00BE282A">
        <w:rPr>
          <w:rFonts w:ascii="Verdana" w:hAnsi="Verdana" w:cs="Times New Roman"/>
          <w:sz w:val="18"/>
          <w:szCs w:val="18"/>
        </w:rPr>
        <w:t>, 2011</w:t>
      </w:r>
      <w:r>
        <w:rPr>
          <w:rFonts w:ascii="Verdana" w:hAnsi="Verdana" w:cs="Times New Roman"/>
          <w:sz w:val="18"/>
          <w:szCs w:val="18"/>
        </w:rPr>
        <w:t>, p. 3-4, consultado 15/05</w:t>
      </w:r>
      <w:r w:rsidRPr="003700E8">
        <w:rPr>
          <w:rFonts w:ascii="Verdana" w:hAnsi="Verdana" w:cs="Times New Roman"/>
          <w:sz w:val="18"/>
          <w:szCs w:val="18"/>
        </w:rPr>
        <w:t>/2019.</w:t>
      </w:r>
    </w:p>
  </w:footnote>
  <w:footnote w:id="73">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w:t>
      </w:r>
      <w:bookmarkStart w:id="43" w:name="_Hlk491448695"/>
      <w:r>
        <w:rPr>
          <w:rFonts w:ascii="Verdana" w:hAnsi="Verdana" w:cs="Times New Roman"/>
          <w:sz w:val="18"/>
          <w:szCs w:val="18"/>
        </w:rPr>
        <w:t>FERNÁNEZ ARROYO, D. P.</w:t>
      </w:r>
      <w:r w:rsidRPr="00926BBB">
        <w:rPr>
          <w:rFonts w:ascii="Verdana" w:hAnsi="Verdana" w:cs="Times New Roman"/>
          <w:sz w:val="18"/>
          <w:szCs w:val="18"/>
        </w:rPr>
        <w:t xml:space="preserve"> La Transparencia como paradigma…</w:t>
      </w:r>
      <w:r w:rsidRPr="00926BBB">
        <w:rPr>
          <w:rFonts w:ascii="Verdana" w:hAnsi="Verdana" w:cs="Times New Roman"/>
          <w:i/>
          <w:sz w:val="18"/>
          <w:szCs w:val="18"/>
        </w:rPr>
        <w:t>op.cit</w:t>
      </w:r>
      <w:r w:rsidRPr="00926BBB">
        <w:rPr>
          <w:rFonts w:ascii="Verdana" w:hAnsi="Verdana" w:cs="Times New Roman"/>
          <w:sz w:val="18"/>
          <w:szCs w:val="18"/>
        </w:rPr>
        <w:t>… p. 257.</w:t>
      </w:r>
    </w:p>
    <w:bookmarkEnd w:id="43"/>
  </w:footnote>
  <w:footnote w:id="74">
    <w:p w:rsidR="006E10EA" w:rsidRPr="00926BBB" w:rsidRDefault="006E10EA" w:rsidP="00542B8E">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cual establece que: “</w:t>
      </w:r>
      <w:r w:rsidRPr="00926BBB">
        <w:rPr>
          <w:rFonts w:ascii="Verdana" w:hAnsi="Verdana" w:cs="Times New Roman"/>
          <w:i/>
          <w:sz w:val="18"/>
          <w:szCs w:val="18"/>
        </w:rPr>
        <w:t>El archivo de la información publicada conforme al Reglamento sobre la Transparencia será el Secretario General de las Naciones Unidas o una Institución nombrada por la CNUDMI</w:t>
      </w:r>
      <w:r w:rsidRPr="00926BBB">
        <w:rPr>
          <w:rFonts w:ascii="Verdana" w:hAnsi="Verdana" w:cs="Times New Roman"/>
          <w:sz w:val="18"/>
          <w:szCs w:val="18"/>
        </w:rPr>
        <w:t xml:space="preserve">”. En este sentido, consideramos que, teniendo en cuenta la relación que tiene el Artículo 8, con el Artículo 2 del Reglamento sobre la Transparencia, ambos serán analizados conjuntamente en el presente epígrafe.  </w:t>
      </w:r>
    </w:p>
  </w:footnote>
  <w:footnote w:id="75">
    <w:p w:rsidR="006E10EA" w:rsidRPr="00D638D3" w:rsidRDefault="006E10EA" w:rsidP="0020685F">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Al respecto, el tribunal del caso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ARB/14/22, </w:t>
      </w:r>
      <w:r w:rsidRPr="00926BBB">
        <w:rPr>
          <w:rFonts w:ascii="Verdana" w:hAnsi="Verdana" w:cs="Times New Roman"/>
          <w:sz w:val="18"/>
          <w:szCs w:val="18"/>
        </w:rPr>
        <w:t>Procedural Order No. 2, “Transparency”, páragrahp 10, 2015,</w:t>
      </w:r>
      <w:r w:rsidRPr="00926BBB">
        <w:rPr>
          <w:rFonts w:ascii="Verdana" w:hAnsi="Verdana" w:cs="Times New Roman"/>
          <w:sz w:val="18"/>
          <w:szCs w:val="18"/>
          <w:lang w:val="en-US"/>
        </w:rPr>
        <w:t xml:space="preserve"> estableció: “</w:t>
      </w:r>
      <w:r w:rsidRPr="00926BBB">
        <w:rPr>
          <w:rFonts w:ascii="Verdana" w:hAnsi="Verdana" w:cs="Times New Roman"/>
          <w:i/>
          <w:sz w:val="18"/>
          <w:szCs w:val="18"/>
          <w:lang w:val="en-US"/>
        </w:rPr>
        <w:t>In the present case, the Parties have agreed on the application of the Transparency Rules, expanded their scope in some respects, and provided for specific rules for their implementation. ICSID has confirmed its willingness to administer this arbitration in accordance with the rules set forth in this Order and to act as repository as defined in the Transparency Rules and in this Order the “Repository”</w:t>
      </w:r>
      <w:r w:rsidRPr="00926BBB">
        <w:rPr>
          <w:rFonts w:ascii="Verdana" w:hAnsi="Verdana" w:cs="Times New Roman"/>
          <w:sz w:val="18"/>
          <w:szCs w:val="18"/>
          <w:lang w:val="en-US"/>
        </w:rPr>
        <w:t>. E</w:t>
      </w:r>
      <w:r w:rsidRPr="00926BBB">
        <w:rPr>
          <w:rFonts w:ascii="Verdana" w:hAnsi="Verdana" w:cs="Times New Roman"/>
          <w:sz w:val="18"/>
          <w:szCs w:val="18"/>
        </w:rPr>
        <w:t>n relación, a su vez, con los párrafos, 5 y 17 de la propia Orden.</w:t>
      </w:r>
    </w:p>
  </w:footnote>
  <w:footnote w:id="76">
    <w:p w:rsidR="006E10EA" w:rsidRPr="00926BBB" w:rsidRDefault="006E10EA" w:rsidP="00850C83">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Artículo 3.1 del Reglamento sobre la Transparencia.</w:t>
      </w:r>
    </w:p>
  </w:footnote>
  <w:footnote w:id="77">
    <w:p w:rsidR="006E10EA" w:rsidRPr="00926BBB" w:rsidRDefault="006E10EA" w:rsidP="00B73861">
      <w:pPr>
        <w:pStyle w:val="Textonotapie"/>
        <w:rPr>
          <w:rFonts w:ascii="Verdana" w:hAnsi="Verdana"/>
          <w:sz w:val="18"/>
          <w:szCs w:val="18"/>
          <w:lang w:val="es-MX"/>
        </w:rPr>
      </w:pPr>
      <w:r w:rsidRPr="00926BBB">
        <w:rPr>
          <w:rStyle w:val="Refdenotaalpie"/>
          <w:rFonts w:ascii="Verdana" w:hAnsi="Verdana"/>
          <w:sz w:val="18"/>
          <w:szCs w:val="18"/>
        </w:rPr>
        <w:footnoteRef/>
      </w:r>
      <w:r w:rsidRPr="00926BBB">
        <w:rPr>
          <w:rFonts w:ascii="Verdana" w:hAnsi="Verdana"/>
          <w:sz w:val="18"/>
          <w:szCs w:val="18"/>
        </w:rPr>
        <w:t xml:space="preserve"> </w:t>
      </w:r>
      <w:r w:rsidRPr="00926BBB">
        <w:rPr>
          <w:rFonts w:ascii="Verdana" w:hAnsi="Verdana" w:cs="Times New Roman"/>
          <w:sz w:val="18"/>
          <w:szCs w:val="18"/>
          <w:lang w:val="en-US"/>
        </w:rPr>
        <w:t xml:space="preserve">Véase, el caso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Procedural Order No. 2, “Transparency”, páragrahp 12(iii).1, 2015; “</w:t>
      </w:r>
      <w:r w:rsidRPr="00926BBB">
        <w:rPr>
          <w:rFonts w:ascii="Verdana" w:hAnsi="Verdana" w:cs="Times New Roman"/>
          <w:i/>
          <w:sz w:val="18"/>
          <w:szCs w:val="18"/>
        </w:rPr>
        <w:t>Subject to Article 7, the following documents shall be made available to the public: the Claimant’s request for arbitration, the Claimant’s memorial, the Respondent’s counter-memorial and any further written statements or written submissions by any Party, the exhibits, legal authorities, witness statements, expert reports (including any appended exhibits), transcripts of hearings, orders, decisions, and award of the arbitral tribunal</w:t>
      </w:r>
      <w:r w:rsidRPr="00926BBB">
        <w:rPr>
          <w:rFonts w:ascii="Verdana" w:hAnsi="Verdana" w:cs="Times New Roman"/>
          <w:sz w:val="18"/>
          <w:szCs w:val="18"/>
        </w:rPr>
        <w:t>”.</w:t>
      </w:r>
    </w:p>
  </w:footnote>
  <w:footnote w:id="78">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Artículo 3.2 del Reglamento sobre la Transparencia. </w:t>
      </w:r>
    </w:p>
  </w:footnote>
  <w:footnote w:id="79">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Artículo 3.3 del Reglamento sobre la Transparencia.</w:t>
      </w:r>
    </w:p>
  </w:footnote>
  <w:footnote w:id="80">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y como establece el Artículo 3.4 del Reglamento sobre la Transparencia: “</w:t>
      </w:r>
      <w:r w:rsidRPr="00926BBB">
        <w:rPr>
          <w:rFonts w:ascii="Verdana" w:hAnsi="Verdana" w:cs="Times New Roman"/>
          <w:i/>
          <w:sz w:val="18"/>
          <w:szCs w:val="18"/>
        </w:rPr>
        <w:t>Los documentos que se vayan a poner a disposición del público con arreglo a lo establecido en los párrafos 1 y 2 serán comunicados por el tribunal arbitral al archivo mencionado en el artículo 8 lo antes posible, de conformidad con las disposiciones o plazos para la protección de la confidencialidad o de información protegida establecidos en el artículo 7. Los documentos que se vayan a poner a disposición del público con arreglo a lo establecido en el párrafo 3 podrán ser comunicados por el tribunal arbitral al archivo mencionado en el artículo 8 a medida que se disponga de ellos y, cuando proceda, en su forma expurgada de conformidad con el artículo 7. El archivo hará público oportunamente todos los documentos en la forma y el idioma en que los haya recibido</w:t>
      </w:r>
      <w:r w:rsidRPr="00926BBB">
        <w:rPr>
          <w:rFonts w:ascii="Verdana" w:hAnsi="Verdana" w:cs="Times New Roman"/>
          <w:sz w:val="18"/>
          <w:szCs w:val="18"/>
        </w:rPr>
        <w:t xml:space="preserve">”. </w:t>
      </w:r>
      <w:bookmarkStart w:id="46" w:name="_Hlk491309422"/>
      <w:r w:rsidRPr="00926BBB">
        <w:rPr>
          <w:rFonts w:ascii="Verdana" w:hAnsi="Verdana" w:cs="Times New Roman"/>
          <w:sz w:val="18"/>
          <w:szCs w:val="18"/>
          <w:lang w:val="en-US"/>
        </w:rPr>
        <w:t xml:space="preserve">Véase, el caso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Procedural Order No. 2, “Transparency”, páragrahp 12(iii).3</w:t>
      </w:r>
      <w:bookmarkEnd w:id="46"/>
      <w:r w:rsidRPr="00926BBB">
        <w:rPr>
          <w:rFonts w:ascii="Verdana" w:hAnsi="Verdana" w:cs="Times New Roman"/>
          <w:sz w:val="18"/>
          <w:szCs w:val="18"/>
        </w:rPr>
        <w:t>, 2015.</w:t>
      </w:r>
    </w:p>
  </w:footnote>
  <w:footnote w:id="81">
    <w:p w:rsidR="006E10EA" w:rsidRPr="001F6976" w:rsidRDefault="006E10EA" w:rsidP="007C4A00">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Según establece el Artículo 3.5 del Reglamento sobre la Transparencia: “</w:t>
      </w:r>
      <w:r w:rsidRPr="00926BBB">
        <w:rPr>
          <w:rFonts w:ascii="Verdana" w:hAnsi="Verdana" w:cs="Times New Roman"/>
          <w:i/>
          <w:sz w:val="18"/>
          <w:szCs w:val="18"/>
        </w:rPr>
        <w:t>Las personas que reciban acceso a documentos con arreglo a lo establecido en el párrafo 3 sufragarán los gastos administrativos que conlleve facilitar el acceso de esas personas a los documentos, como los gastos de fotocopiado o envío de los documentos a esas personas, pero no los gastos que conlleve facilitar el acceso del público a esos documentos por medio de archivo</w:t>
      </w:r>
      <w:r w:rsidRPr="00926BBB">
        <w:rPr>
          <w:rFonts w:ascii="Verdana" w:hAnsi="Verdana" w:cs="Times New Roman"/>
          <w:sz w:val="18"/>
          <w:szCs w:val="18"/>
        </w:rPr>
        <w:t>”.</w:t>
      </w:r>
      <w:r w:rsidRPr="001F6976">
        <w:rPr>
          <w:rFonts w:ascii="Times New Roman" w:hAnsi="Times New Roman" w:cs="Times New Roman"/>
        </w:rPr>
        <w:t xml:space="preserve"> </w:t>
      </w:r>
    </w:p>
  </w:footnote>
  <w:footnote w:id="82">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Véase, el caso </w:t>
      </w:r>
      <w:bookmarkStart w:id="47" w:name="_Hlk491564179"/>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Procedural Order No. 2, “Transparency”, páragrahp 12(iii).4, 2015.</w:t>
      </w:r>
    </w:p>
    <w:bookmarkEnd w:id="47"/>
  </w:footnote>
  <w:footnote w:id="83">
    <w:p w:rsidR="006E10EA" w:rsidRPr="00557597"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Art. 4.1 del Reglamento sobre </w:t>
      </w:r>
      <w:r>
        <w:rPr>
          <w:rFonts w:ascii="Verdana" w:hAnsi="Verdana" w:cs="Times New Roman"/>
          <w:sz w:val="18"/>
          <w:szCs w:val="18"/>
        </w:rPr>
        <w:t xml:space="preserve">la </w:t>
      </w:r>
      <w:r w:rsidRPr="00926BBB">
        <w:rPr>
          <w:rFonts w:ascii="Verdana" w:hAnsi="Verdana" w:cs="Times New Roman"/>
          <w:sz w:val="18"/>
          <w:szCs w:val="18"/>
        </w:rPr>
        <w:t>Transparencia.</w:t>
      </w:r>
    </w:p>
  </w:footnote>
  <w:footnote w:id="84">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el párrafo tercero del Preámbulo de la Convención de Mauricio y el sexto de la Resolución que aprueba el Reglamento sobre la Transparencia establecen: </w:t>
      </w:r>
      <w:r w:rsidRPr="00926BBB">
        <w:rPr>
          <w:rFonts w:ascii="Verdana" w:hAnsi="Verdana" w:cs="Times New Roman"/>
          <w:i/>
          <w:sz w:val="18"/>
          <w:szCs w:val="18"/>
        </w:rPr>
        <w:t>“Creyendo que el Reglamento sobre la Transparencia en los arbitrajes entre inversionistas y</w:t>
      </w:r>
      <w:r>
        <w:rPr>
          <w:rFonts w:ascii="Verdana" w:hAnsi="Verdana" w:cs="Times New Roman"/>
          <w:i/>
          <w:sz w:val="18"/>
          <w:szCs w:val="18"/>
        </w:rPr>
        <w:t xml:space="preserve"> Estados en el marco</w:t>
      </w:r>
      <w:r w:rsidRPr="00926BBB">
        <w:rPr>
          <w:rFonts w:ascii="Verdana" w:hAnsi="Verdana" w:cs="Times New Roman"/>
          <w:i/>
          <w:sz w:val="18"/>
          <w:szCs w:val="18"/>
        </w:rPr>
        <w:t xml:space="preserve"> de un tratado contribuiría considerablemente al establecimiento de un marco jurídico armonizado para resolver de forma equitativa y eficiente las controversias internacionales en materia de inversiones, aumentar la transparencia y la rendición de cuentas y promover la buena gobernanza”</w:t>
      </w:r>
      <w:r w:rsidRPr="00926BBB">
        <w:rPr>
          <w:rFonts w:ascii="Verdana" w:hAnsi="Verdana" w:cs="Times New Roman"/>
          <w:sz w:val="18"/>
          <w:szCs w:val="18"/>
        </w:rPr>
        <w:t>.</w:t>
      </w:r>
    </w:p>
  </w:footnote>
  <w:footnote w:id="85">
    <w:p w:rsidR="006E10EA" w:rsidRPr="00926BBB" w:rsidRDefault="006E10EA" w:rsidP="002267EC">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Véase, al respecto, el Artículo 17.5 del Reglamento de la CNUDMI del 2013, el cual establece que: “</w:t>
      </w:r>
      <w:r w:rsidRPr="00926BBB">
        <w:rPr>
          <w:rFonts w:ascii="Verdana" w:hAnsi="Verdana" w:cs="Times New Roman"/>
          <w:i/>
          <w:sz w:val="18"/>
          <w:szCs w:val="18"/>
        </w:rPr>
        <w:t>El tribunal arbitral podrá, a instancia de cualquier parte, permitir que uno o más terceros intervengan como partes en el arbitraje, siempre que el tercero invitado sea parte en el acuerdo de arbitraje, salvo que el tribunal arbitral entienda, tras oír a las partes y al tercero invitado a sumarse a las  actuaciones, que esa intervención no debe ser permitida por poder resultar perjudicial para alguna de ellas. El tribunal arbitral podrá dictar uno o más laudos respecto de todas las partes que intervengan en el arbitraje</w:t>
      </w:r>
      <w:r w:rsidRPr="00926BBB">
        <w:rPr>
          <w:rFonts w:ascii="Verdana" w:hAnsi="Verdana" w:cs="Times New Roman"/>
          <w:sz w:val="18"/>
          <w:szCs w:val="18"/>
        </w:rPr>
        <w:t>”.</w:t>
      </w:r>
    </w:p>
  </w:footnote>
  <w:footnote w:id="86">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 tales efectos, el tercero que desee presentar un escrito al tribunal, deberá indicar, a tenor de lo establecido en el Artículo 4.2 a) “</w:t>
      </w:r>
      <w:r w:rsidRPr="00926BBB">
        <w:rPr>
          <w:rFonts w:ascii="Verdana" w:hAnsi="Verdana" w:cs="Times New Roman"/>
          <w:i/>
          <w:sz w:val="18"/>
          <w:szCs w:val="18"/>
        </w:rPr>
        <w:t>Descripción del tercero, indicando, si procede, la organización de que sea miembro y su condición jurídica (por ejemplo, asociación profesional u otra entidad no gubernamental), sus objetivos generales, la índole de sus actividades, y toda entidad matriz (incluida toda entidad que controle directa o indirectamente al tercero)</w:t>
      </w:r>
      <w:r w:rsidRPr="00926BBB">
        <w:rPr>
          <w:rFonts w:ascii="Verdana" w:hAnsi="Verdana" w:cs="Times New Roman"/>
          <w:sz w:val="18"/>
          <w:szCs w:val="18"/>
        </w:rPr>
        <w:t xml:space="preserve">”. </w:t>
      </w:r>
    </w:p>
  </w:footnote>
  <w:footnote w:id="87">
    <w:p w:rsidR="006E10EA" w:rsidRPr="000C0751"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propio Artículo 4.2 d) y e) del Reglamento sobre la Transparencia establecen que el tercero debe especificar en su escrito</w:t>
      </w:r>
      <w:r>
        <w:rPr>
          <w:rFonts w:ascii="Verdana" w:hAnsi="Verdana" w:cs="Times New Roman"/>
          <w:sz w:val="18"/>
          <w:szCs w:val="18"/>
        </w:rPr>
        <w:t>;</w:t>
      </w:r>
      <w:r w:rsidRPr="00926BBB">
        <w:rPr>
          <w:rFonts w:ascii="Verdana" w:hAnsi="Verdana" w:cs="Times New Roman"/>
          <w:sz w:val="18"/>
          <w:szCs w:val="18"/>
        </w:rPr>
        <w:t xml:space="preserve"> “</w:t>
      </w:r>
      <w:r w:rsidRPr="00926BBB">
        <w:rPr>
          <w:rFonts w:ascii="Verdana" w:hAnsi="Verdana" w:cs="Times New Roman"/>
          <w:i/>
          <w:sz w:val="18"/>
          <w:szCs w:val="18"/>
        </w:rPr>
        <w:t>Descripción de la índole del interés del tercero en el arbitraje; y e) Indicación de las cuestiones concretas de hecho y de derecho suscitadas en el arbitraje que el tercero desee tratar en su escrito</w:t>
      </w:r>
      <w:r w:rsidRPr="00926BBB">
        <w:rPr>
          <w:rFonts w:ascii="Verdana" w:hAnsi="Verdana" w:cs="Times New Roman"/>
          <w:sz w:val="18"/>
          <w:szCs w:val="18"/>
        </w:rPr>
        <w:t>”.</w:t>
      </w:r>
    </w:p>
  </w:footnote>
  <w:footnote w:id="88">
    <w:p w:rsidR="006E10EA" w:rsidRPr="00926BBB" w:rsidRDefault="006E10EA" w:rsidP="000C0751">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el Artículo 4.2 c) del Reglamento sobre la Transparencia establece que el tercero que desee presentar un escrito al tribunal indicará: “</w:t>
      </w:r>
      <w:r w:rsidRPr="00926BBB">
        <w:rPr>
          <w:rFonts w:ascii="Verdana" w:hAnsi="Verdana" w:cs="Times New Roman"/>
          <w:i/>
          <w:sz w:val="18"/>
          <w:szCs w:val="18"/>
        </w:rPr>
        <w:t>Información sobre todo gobierno, persona u organización que haya prestado al tercero, i) ayuda financiera o de otra índole para la presentación del escrito; o ii) ayuda considerable en cualquiera de los dos años anteriores a la solicitud presentada por el tercero con arreglo al presente artículo (por ejemplo, la financiación de aproximadamente el 20% del total de sus operaciones)”.</w:t>
      </w:r>
    </w:p>
  </w:footnote>
  <w:footnote w:id="89">
    <w:p w:rsidR="006E10EA" w:rsidRPr="00926BBB" w:rsidRDefault="006E10EA" w:rsidP="007D7E9B">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cual establece que: “</w:t>
      </w:r>
      <w:r w:rsidRPr="00926BBB">
        <w:rPr>
          <w:rFonts w:ascii="Verdana" w:hAnsi="Verdana" w:cs="Times New Roman"/>
          <w:i/>
          <w:sz w:val="18"/>
          <w:szCs w:val="18"/>
        </w:rPr>
        <w:t>Para determinar si permite la presentación de un escrito, el tribunal arbitral tomará en consideración, entre otros factores que considere pertinentes: a) si el tercero tiene un interés considerable en el procedimiento arbitral; y b) la medida en que el escrito pueda ayudar al tribunal arbitral a determinar alguna cuestión de hecho o de derecho relativa al procedimiento arbitral, al aportar enfoques, conocimientos particulares o puntos de vista distintos a los de las partes litigantes</w:t>
      </w:r>
      <w:r w:rsidRPr="00926BBB">
        <w:rPr>
          <w:rFonts w:ascii="Verdana" w:hAnsi="Verdana" w:cs="Times New Roman"/>
          <w:sz w:val="18"/>
          <w:szCs w:val="18"/>
        </w:rPr>
        <w:t>”.</w:t>
      </w:r>
    </w:p>
  </w:footnote>
  <w:footnote w:id="90">
    <w:p w:rsidR="006E10EA" w:rsidRPr="00926BBB" w:rsidRDefault="006E10EA" w:rsidP="00EA137C">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hemos de señalar que tanto las Reglas del Mecanismo Complementario, como las Reglas de Arbitraje del CIADI, coinciden literalmente con lo establecido en los artículos 41(2) y 37(2) respectivamente.</w:t>
      </w:r>
    </w:p>
  </w:footnote>
  <w:footnote w:id="91">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el Artículo 4.4 del Reglamento sobre la Transparencia establece que: “</w:t>
      </w:r>
      <w:r w:rsidRPr="00926BBB">
        <w:rPr>
          <w:rFonts w:ascii="Verdana" w:hAnsi="Verdana" w:cs="Times New Roman"/>
          <w:i/>
          <w:sz w:val="18"/>
          <w:szCs w:val="18"/>
        </w:rPr>
        <w:t>El escrito presentado por el tercero deberá: a) estar fechado y firmado por la persona que lo presente en nombre del tercero; b) ser conciso y no exceder en ningún caso la extensión autorizada por el tribunal arbitral; c) enunciar, en términos precisos, la posición del tercero respecto de las cuestiones en litigio; y d) referirse únicamente a cuestiones en litigio</w:t>
      </w:r>
      <w:r w:rsidRPr="00926BBB">
        <w:rPr>
          <w:rFonts w:ascii="Verdana" w:hAnsi="Verdana" w:cs="Times New Roman"/>
          <w:sz w:val="18"/>
          <w:szCs w:val="18"/>
        </w:rPr>
        <w:t>”.</w:t>
      </w:r>
    </w:p>
  </w:footnote>
  <w:footnote w:id="92">
    <w:p w:rsidR="006E10EA" w:rsidRPr="00091A7F"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cual reconoce que: “</w:t>
      </w:r>
      <w:r w:rsidRPr="00926BBB">
        <w:rPr>
          <w:rFonts w:ascii="Verdana" w:hAnsi="Verdana" w:cs="Times New Roman"/>
          <w:i/>
          <w:sz w:val="18"/>
          <w:szCs w:val="18"/>
        </w:rPr>
        <w:t>El tribunal arbitral deberá asegurar que los escritos no perturben ni dificulten innecesariamente el procedimiento arbitral y que no causen ningún perjuicio indebido a ninguna de las partes litigantes</w:t>
      </w:r>
      <w:r w:rsidRPr="00926BBB">
        <w:rPr>
          <w:rFonts w:ascii="Verdana" w:hAnsi="Verdana" w:cs="Times New Roman"/>
          <w:sz w:val="18"/>
          <w:szCs w:val="18"/>
        </w:rPr>
        <w:t>”.</w:t>
      </w:r>
    </w:p>
  </w:footnote>
  <w:footnote w:id="93">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Artículo 4.6 del Reglamento establece: “</w:t>
      </w:r>
      <w:r w:rsidRPr="00926BBB">
        <w:rPr>
          <w:rFonts w:ascii="Verdana" w:hAnsi="Verdana" w:cs="Times New Roman"/>
          <w:i/>
          <w:sz w:val="18"/>
          <w:szCs w:val="18"/>
        </w:rPr>
        <w:t>El tribunal arbitral deberá asegurar que se dé a las partes litigantes una oportunidad razonable de formular observaciones acerca de los escritos presentados por terceros</w:t>
      </w:r>
      <w:r w:rsidRPr="00926BBB">
        <w:rPr>
          <w:rFonts w:ascii="Verdana" w:hAnsi="Verdana" w:cs="Times New Roman"/>
          <w:sz w:val="18"/>
          <w:szCs w:val="18"/>
        </w:rPr>
        <w:t>”.</w:t>
      </w:r>
    </w:p>
  </w:footnote>
  <w:footnote w:id="94">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Tal y como lo establece el Artículo 5.1 del Reglamento</w:t>
      </w:r>
      <w:r>
        <w:rPr>
          <w:rFonts w:ascii="Verdana" w:hAnsi="Verdana" w:cs="Times New Roman"/>
          <w:sz w:val="18"/>
          <w:szCs w:val="18"/>
        </w:rPr>
        <w:t>:</w:t>
      </w:r>
      <w:r w:rsidRPr="003700E8">
        <w:rPr>
          <w:rFonts w:ascii="Verdana" w:hAnsi="Verdana" w:cs="Times New Roman"/>
          <w:sz w:val="18"/>
          <w:szCs w:val="18"/>
        </w:rPr>
        <w:t xml:space="preserve"> “</w:t>
      </w:r>
      <w:r w:rsidRPr="003700E8">
        <w:rPr>
          <w:rFonts w:ascii="Verdana" w:hAnsi="Verdana" w:cs="Times New Roman"/>
          <w:i/>
          <w:sz w:val="18"/>
          <w:szCs w:val="18"/>
        </w:rPr>
        <w:t>El tribunal arbitral permitirá, con arreglo al párrafo 4, que partes en el tratado que no sean litigantes presenten escritos o, tras consultar con las partes litigantes, podrá invitar a partes en el tratado que no sean litigantes a que presenten escritos sobre cuestiones relativas a la interpretación del tratado</w:t>
      </w:r>
      <w:r w:rsidRPr="003700E8">
        <w:rPr>
          <w:rFonts w:ascii="Verdana" w:hAnsi="Verdana" w:cs="Times New Roman"/>
          <w:sz w:val="18"/>
          <w:szCs w:val="18"/>
        </w:rPr>
        <w:t>”.</w:t>
      </w:r>
    </w:p>
  </w:footnote>
  <w:footnote w:id="95">
    <w:p w:rsidR="006E10EA" w:rsidRPr="003700E8" w:rsidRDefault="006E10EA" w:rsidP="00A42908">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w:t>
      </w:r>
      <w:r w:rsidRPr="00B12B01">
        <w:rPr>
          <w:rFonts w:ascii="Verdana" w:hAnsi="Verdana" w:cs="Times New Roman"/>
          <w:sz w:val="18"/>
          <w:szCs w:val="18"/>
          <w:lang w:val="en-US"/>
        </w:rPr>
        <w:t xml:space="preserve">KAUFMANN-KOHLER, G. </w:t>
      </w:r>
      <w:r>
        <w:rPr>
          <w:rFonts w:ascii="Verdana" w:hAnsi="Verdana" w:cs="Times New Roman"/>
          <w:sz w:val="18"/>
          <w:szCs w:val="18"/>
          <w:lang w:val="en-US"/>
        </w:rPr>
        <w:t>“</w:t>
      </w:r>
      <w:r w:rsidRPr="00B12B01">
        <w:rPr>
          <w:rFonts w:ascii="Verdana" w:hAnsi="Verdana" w:cs="Times New Roman"/>
          <w:sz w:val="18"/>
          <w:szCs w:val="18"/>
          <w:lang w:val="en-US"/>
        </w:rPr>
        <w:t>Interpretive Powers of the Free Trade Commission and the Rule of Law</w:t>
      </w:r>
      <w:r>
        <w:rPr>
          <w:rFonts w:ascii="Verdana" w:hAnsi="Verdana" w:cs="Times New Roman"/>
          <w:i/>
          <w:sz w:val="18"/>
          <w:szCs w:val="18"/>
          <w:lang w:val="en-US"/>
        </w:rPr>
        <w:t>”</w:t>
      </w:r>
      <w:r w:rsidRPr="00B12B01">
        <w:rPr>
          <w:rFonts w:ascii="Verdana" w:hAnsi="Verdana" w:cs="Times New Roman"/>
          <w:sz w:val="18"/>
          <w:szCs w:val="18"/>
          <w:lang w:val="en-US"/>
        </w:rPr>
        <w:t xml:space="preserve">, 2011, </w:t>
      </w:r>
      <w:proofErr w:type="spellStart"/>
      <w:r w:rsidRPr="00B12B01">
        <w:rPr>
          <w:rFonts w:ascii="Verdana" w:hAnsi="Verdana" w:cs="Times New Roman"/>
          <w:sz w:val="18"/>
          <w:szCs w:val="18"/>
          <w:lang w:val="en-US"/>
        </w:rPr>
        <w:t>disponible</w:t>
      </w:r>
      <w:proofErr w:type="spellEnd"/>
      <w:r w:rsidRPr="00B12B01">
        <w:rPr>
          <w:rFonts w:ascii="Verdana" w:hAnsi="Verdana" w:cs="Times New Roman"/>
          <w:sz w:val="18"/>
          <w:szCs w:val="18"/>
          <w:lang w:val="en-US"/>
        </w:rPr>
        <w:t xml:space="preserve"> en: </w:t>
      </w:r>
      <w:hyperlink r:id="rId15" w:history="1">
        <w:r w:rsidRPr="00B12B01">
          <w:rPr>
            <w:rStyle w:val="Hipervnculo"/>
            <w:rFonts w:ascii="Verdana" w:hAnsi="Verdana" w:cs="Times New Roman"/>
            <w:sz w:val="18"/>
            <w:szCs w:val="18"/>
            <w:lang w:val="en-US"/>
          </w:rPr>
          <w:t>http://www.arbitrationicca.org/media/1/13571335953400/interpretive_powers_of_the_free_trade_commission_and_the_rule_of_law_kaufmann-kohler.pdf</w:t>
        </w:r>
      </w:hyperlink>
      <w:r w:rsidRPr="003700E8">
        <w:rPr>
          <w:rFonts w:ascii="Verdana" w:hAnsi="Verdana" w:cs="Times New Roman"/>
          <w:sz w:val="18"/>
          <w:szCs w:val="18"/>
          <w:lang w:val="en-US"/>
        </w:rPr>
        <w:t>, c</w:t>
      </w:r>
      <w:r>
        <w:rPr>
          <w:rFonts w:ascii="Verdana" w:hAnsi="Verdana" w:cs="Times New Roman"/>
          <w:sz w:val="18"/>
          <w:szCs w:val="18"/>
        </w:rPr>
        <w:t>onsultado el 15/05</w:t>
      </w:r>
      <w:r w:rsidRPr="003700E8">
        <w:rPr>
          <w:rFonts w:ascii="Verdana" w:hAnsi="Verdana" w:cs="Times New Roman"/>
          <w:sz w:val="18"/>
          <w:szCs w:val="18"/>
        </w:rPr>
        <w:t xml:space="preserve">/2019.  </w:t>
      </w:r>
    </w:p>
  </w:footnote>
  <w:footnote w:id="96">
    <w:p w:rsidR="006E10EA" w:rsidRPr="00E830BD" w:rsidRDefault="006E10EA">
      <w:pPr>
        <w:pStyle w:val="Textonotapie"/>
        <w:rPr>
          <w:rFonts w:ascii="Times New Roman" w:hAnsi="Times New Roman" w:cs="Times New Roman"/>
        </w:rPr>
      </w:pPr>
      <w:r w:rsidRPr="003700E8">
        <w:rPr>
          <w:rStyle w:val="Refdenotaalpie"/>
          <w:rFonts w:ascii="Verdana" w:hAnsi="Verdana" w:cs="Times New Roman"/>
          <w:sz w:val="18"/>
          <w:szCs w:val="18"/>
        </w:rPr>
        <w:footnoteRef/>
      </w:r>
      <w:r>
        <w:rPr>
          <w:rFonts w:ascii="Verdana" w:hAnsi="Verdana" w:cs="Times New Roman"/>
          <w:sz w:val="18"/>
          <w:szCs w:val="18"/>
        </w:rPr>
        <w:t xml:space="preserve"> FERNÁNEZ ARROYO, D. P.</w:t>
      </w:r>
      <w:r w:rsidRPr="003700E8">
        <w:rPr>
          <w:rFonts w:ascii="Verdana" w:hAnsi="Verdana" w:cs="Times New Roman"/>
          <w:sz w:val="18"/>
          <w:szCs w:val="18"/>
        </w:rPr>
        <w:t xml:space="preserve"> La Transparencia como paradigma…</w:t>
      </w:r>
      <w:r w:rsidRPr="003700E8">
        <w:rPr>
          <w:rFonts w:ascii="Verdana" w:hAnsi="Verdana" w:cs="Times New Roman"/>
          <w:i/>
          <w:sz w:val="18"/>
          <w:szCs w:val="18"/>
        </w:rPr>
        <w:t>op.cit</w:t>
      </w:r>
      <w:r w:rsidRPr="003700E8">
        <w:rPr>
          <w:rFonts w:ascii="Verdana" w:hAnsi="Verdana" w:cs="Times New Roman"/>
          <w:sz w:val="18"/>
          <w:szCs w:val="18"/>
        </w:rPr>
        <w:t>… p. 253.</w:t>
      </w:r>
    </w:p>
  </w:footnote>
  <w:footnote w:id="97">
    <w:p w:rsidR="006E10EA" w:rsidRPr="00926BBB" w:rsidRDefault="006E10EA" w:rsidP="002D7839">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Teniendo en cuenta el Artículo 5.2 del Reglamento sobre la Transparencia, el cual establece: “</w:t>
      </w:r>
      <w:r w:rsidRPr="00926BBB">
        <w:rPr>
          <w:rFonts w:ascii="Verdana" w:hAnsi="Verdana" w:cs="Times New Roman"/>
          <w:i/>
          <w:sz w:val="18"/>
          <w:szCs w:val="18"/>
        </w:rPr>
        <w:t>El tribunal arbitral, tras celebrar consultas con las partes litigantes, podrá permitir que partes en el tratado que no sean litigantes presenten escritos sobre otras cuestiones que sean objeto del litigio. Para determinar si permite la presentación de tales escritos, el tribunal arbitral tendrá en cuenta, entre otros factores que considere pertinentes, los factores mencionados en el artículo 4, párrafo 3, y, a fin de aportar una mayor certeza, la necesidad de evitar la presentación de escritos en que se apoye la reclamación de un inversionista de modo tal que equivalga a protección diplomática</w:t>
      </w:r>
      <w:r w:rsidRPr="00926BBB">
        <w:rPr>
          <w:rFonts w:ascii="Verdana" w:hAnsi="Verdana" w:cs="Times New Roman"/>
          <w:sz w:val="18"/>
          <w:szCs w:val="18"/>
        </w:rPr>
        <w:t>”.</w:t>
      </w:r>
    </w:p>
  </w:footnote>
  <w:footnote w:id="98">
    <w:p w:rsidR="006E10EA" w:rsidRPr="00926BBB" w:rsidRDefault="006E10EA" w:rsidP="007C4498">
      <w:pPr>
        <w:pStyle w:val="Textonotapie"/>
        <w:rPr>
          <w:rFonts w:ascii="Verdana" w:hAnsi="Verdana"/>
          <w:sz w:val="18"/>
          <w:szCs w:val="18"/>
          <w:lang w:val="en-US"/>
        </w:rPr>
      </w:pPr>
      <w:r w:rsidRPr="00926BBB">
        <w:rPr>
          <w:rStyle w:val="Refdenotaalpie"/>
          <w:rFonts w:ascii="Verdana" w:hAnsi="Verdana" w:cs="Times New Roman"/>
          <w:sz w:val="18"/>
          <w:szCs w:val="18"/>
        </w:rPr>
        <w:footnoteRef/>
      </w:r>
      <w:r>
        <w:rPr>
          <w:rFonts w:ascii="Verdana" w:hAnsi="Verdana" w:cs="Times New Roman"/>
          <w:sz w:val="18"/>
          <w:szCs w:val="18"/>
          <w:lang w:val="en-US"/>
        </w:rPr>
        <w:t xml:space="preserve"> </w:t>
      </w:r>
      <w:r w:rsidRPr="00D05F82">
        <w:rPr>
          <w:rFonts w:ascii="Verdana" w:hAnsi="Verdana" w:cs="Times New Roman"/>
          <w:sz w:val="18"/>
          <w:szCs w:val="18"/>
          <w:lang w:val="en-US"/>
        </w:rPr>
        <w:t>FRANCK, S.D.</w:t>
      </w:r>
      <w:r w:rsidRPr="00926BBB">
        <w:rPr>
          <w:rFonts w:ascii="Verdana" w:hAnsi="Verdana" w:cs="Times New Roman"/>
          <w:sz w:val="18"/>
          <w:szCs w:val="18"/>
          <w:lang w:val="en-US"/>
        </w:rPr>
        <w:t xml:space="preserve"> “The Nature and Enforcement of Investor Rights under Investment Treaties: Do Investment Treaties have a Bright Future”, </w:t>
      </w:r>
      <w:r w:rsidRPr="00926BBB">
        <w:rPr>
          <w:rFonts w:ascii="Verdana" w:hAnsi="Verdana" w:cs="Times New Roman"/>
          <w:i/>
          <w:sz w:val="18"/>
          <w:szCs w:val="18"/>
          <w:lang w:val="en-US"/>
        </w:rPr>
        <w:t>University of California</w:t>
      </w:r>
      <w:r w:rsidRPr="00926BBB">
        <w:rPr>
          <w:rFonts w:ascii="Verdana" w:hAnsi="Verdana" w:cs="Times New Roman"/>
          <w:sz w:val="18"/>
          <w:szCs w:val="18"/>
          <w:lang w:val="en-US"/>
        </w:rPr>
        <w:t>, Vol. 12, 2005, pp. 60-63.</w:t>
      </w:r>
    </w:p>
  </w:footnote>
  <w:footnote w:id="99">
    <w:p w:rsidR="006E10EA" w:rsidRPr="00C12A30" w:rsidRDefault="006E10EA" w:rsidP="006F68D3">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Artículo 5.3 del Reglamento sobre la Transparencia establece que: “</w:t>
      </w:r>
      <w:r w:rsidRPr="00926BBB">
        <w:rPr>
          <w:rFonts w:ascii="Verdana" w:hAnsi="Verdana" w:cs="Times New Roman"/>
          <w:i/>
          <w:sz w:val="18"/>
          <w:szCs w:val="18"/>
        </w:rPr>
        <w:t>El tribunal arbitral no sacará conclusión alguna de la falta de escritos o de respuesta ante una invitación formulada con arreglo a lo establecido en los párrafos 1 o 2</w:t>
      </w:r>
      <w:r w:rsidRPr="00926BBB">
        <w:rPr>
          <w:rFonts w:ascii="Verdana" w:hAnsi="Verdana" w:cs="Times New Roman"/>
          <w:sz w:val="18"/>
          <w:szCs w:val="18"/>
        </w:rPr>
        <w:t>”.</w:t>
      </w:r>
    </w:p>
  </w:footnote>
  <w:footnote w:id="100">
    <w:p w:rsidR="006E10EA" w:rsidRPr="00926BBB" w:rsidRDefault="006E10EA" w:rsidP="006F68D3">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y como lo establece el Artículo 5.4 del Reglamento sobre la Transparencia: “</w:t>
      </w:r>
      <w:r w:rsidRPr="00926BBB">
        <w:rPr>
          <w:rFonts w:ascii="Verdana" w:hAnsi="Verdana" w:cs="Times New Roman"/>
          <w:i/>
          <w:sz w:val="18"/>
          <w:szCs w:val="18"/>
        </w:rPr>
        <w:t>El tribunal arbitral asegurará que los escritos presentados no perturben ni dificulten innecesariamente el procedimiento arbitral y no causen ningún perjuicio indebido a ninguna de las partes litigantes</w:t>
      </w:r>
      <w:r w:rsidRPr="00926BBB">
        <w:rPr>
          <w:rFonts w:ascii="Verdana" w:hAnsi="Verdana" w:cs="Times New Roman"/>
          <w:sz w:val="18"/>
          <w:szCs w:val="18"/>
        </w:rPr>
        <w:t xml:space="preserve">”. </w:t>
      </w:r>
    </w:p>
  </w:footnote>
  <w:footnote w:id="101">
    <w:p w:rsidR="006E10EA" w:rsidRPr="00926BBB" w:rsidRDefault="006E10EA" w:rsidP="006F68D3">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el Artículo 5.5 del Reglamento sobre la Transparencia reconoce que: “</w:t>
      </w:r>
      <w:r w:rsidRPr="00926BBB">
        <w:rPr>
          <w:rFonts w:ascii="Verdana" w:hAnsi="Verdana" w:cs="Times New Roman"/>
          <w:i/>
          <w:sz w:val="18"/>
          <w:szCs w:val="18"/>
        </w:rPr>
        <w:t>El tribunal arbitral asegurará que se dé a las partes litigantes una oportunidad razonable de hacer observaciones acerca de los escritos presentados por partes en el tratado que no sean litigantes</w:t>
      </w:r>
      <w:r w:rsidRPr="00926BBB">
        <w:rPr>
          <w:rFonts w:ascii="Verdana" w:hAnsi="Verdana" w:cs="Times New Roman"/>
          <w:sz w:val="18"/>
          <w:szCs w:val="18"/>
        </w:rPr>
        <w:t>”.</w:t>
      </w:r>
    </w:p>
  </w:footnote>
  <w:footnote w:id="102">
    <w:p w:rsidR="006E10EA" w:rsidRPr="00926BBB" w:rsidRDefault="006E10EA" w:rsidP="00D53398">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el contexto del Capítulo Once del TLCAN, el derecho de presentar comunicaciones sobre la interpretación de tratados, Artículo 1128, ha sido invocado por al menos un Estado Parte no contendiente en la mayoría de los casos del TLCAN concluidos hasta el momento. Desde los inicios, los Estados Partes no contendientes a menudo hicieron varias presentaciones conforme al Artículo 1128, por ejemplo: en el caso </w:t>
      </w:r>
      <w:r w:rsidRPr="00926BBB">
        <w:rPr>
          <w:rFonts w:ascii="Verdana" w:hAnsi="Verdana" w:cs="Times New Roman"/>
          <w:i/>
          <w:sz w:val="18"/>
          <w:szCs w:val="18"/>
        </w:rPr>
        <w:t xml:space="preserve">Pope </w:t>
      </w:r>
      <w:r w:rsidR="003E2AA5">
        <w:rPr>
          <w:rFonts w:ascii="Verdana" w:hAnsi="Verdana" w:cs="Times New Roman"/>
          <w:i/>
          <w:sz w:val="18"/>
          <w:szCs w:val="18"/>
        </w:rPr>
        <w:t>&amp; Talbot Inc. vs. Canadá (1999),</w:t>
      </w:r>
      <w:r w:rsidRPr="00926BBB">
        <w:rPr>
          <w:rFonts w:ascii="Verdana" w:hAnsi="Verdana" w:cs="Times New Roman"/>
          <w:i/>
          <w:sz w:val="18"/>
          <w:szCs w:val="18"/>
        </w:rPr>
        <w:t xml:space="preserve"> </w:t>
      </w:r>
      <w:r w:rsidRPr="00926BBB">
        <w:rPr>
          <w:rFonts w:ascii="Verdana" w:hAnsi="Verdana" w:cs="Times New Roman"/>
          <w:sz w:val="18"/>
          <w:szCs w:val="18"/>
        </w:rPr>
        <w:t xml:space="preserve">en el cual </w:t>
      </w:r>
      <w:r w:rsidRPr="00926BBB">
        <w:rPr>
          <w:rFonts w:ascii="Verdana" w:hAnsi="Verdana" w:cs="Times New Roman"/>
          <w:i/>
          <w:sz w:val="18"/>
          <w:szCs w:val="18"/>
        </w:rPr>
        <w:t>México</w:t>
      </w:r>
      <w:r w:rsidRPr="00926BBB">
        <w:rPr>
          <w:rFonts w:ascii="Verdana" w:hAnsi="Verdana" w:cs="Times New Roman"/>
          <w:sz w:val="18"/>
          <w:szCs w:val="18"/>
        </w:rPr>
        <w:t xml:space="preserve"> y Estados Unidos presentaron cada uno ocho comunicaciones; el caso </w:t>
      </w:r>
      <w:r w:rsidRPr="00926BBB">
        <w:rPr>
          <w:rFonts w:ascii="Verdana" w:hAnsi="Verdana" w:cs="Times New Roman"/>
          <w:i/>
          <w:sz w:val="18"/>
          <w:szCs w:val="18"/>
        </w:rPr>
        <w:t>Methanex Corp. vs. Estados Unidos (1999)</w:t>
      </w:r>
      <w:r w:rsidRPr="00926BBB">
        <w:rPr>
          <w:rFonts w:ascii="Verdana" w:hAnsi="Verdana" w:cs="Times New Roman"/>
          <w:sz w:val="18"/>
          <w:szCs w:val="18"/>
        </w:rPr>
        <w:t xml:space="preserve">, en el cual Canadá y México presentaron cada uno tres escritos y; en </w:t>
      </w:r>
      <w:r w:rsidRPr="00151CBE">
        <w:rPr>
          <w:rFonts w:ascii="Verdana" w:hAnsi="Verdana" w:cs="Times New Roman"/>
          <w:i/>
          <w:sz w:val="18"/>
          <w:szCs w:val="18"/>
        </w:rPr>
        <w:t>United Parcel Service of America, Inc.</w:t>
      </w:r>
      <w:r w:rsidRPr="00151CBE">
        <w:rPr>
          <w:rFonts w:ascii="Verdana" w:hAnsi="Verdana" w:cs="Times New Roman"/>
          <w:sz w:val="18"/>
          <w:szCs w:val="18"/>
        </w:rPr>
        <w:t xml:space="preserve"> (</w:t>
      </w:r>
      <w:r w:rsidRPr="00151CBE">
        <w:rPr>
          <w:rFonts w:ascii="Verdana" w:hAnsi="Verdana" w:cs="Times New Roman"/>
          <w:i/>
          <w:sz w:val="18"/>
          <w:szCs w:val="18"/>
        </w:rPr>
        <w:t xml:space="preserve">UPS). vs. Canadá, </w:t>
      </w:r>
      <w:r w:rsidRPr="00151CBE">
        <w:rPr>
          <w:rFonts w:ascii="Verdana" w:hAnsi="Verdana" w:cs="Times New Roman"/>
          <w:sz w:val="18"/>
          <w:szCs w:val="18"/>
        </w:rPr>
        <w:t>ICSID Case No. UNCT/02/1, 2000</w:t>
      </w:r>
      <w:r w:rsidRPr="00926BBB">
        <w:rPr>
          <w:rFonts w:ascii="Verdana" w:hAnsi="Verdana" w:cs="Times New Roman"/>
          <w:sz w:val="18"/>
          <w:szCs w:val="18"/>
        </w:rPr>
        <w:t xml:space="preserve">, en el cual México y Estados Unidos, presentaron tres comunicaciones según el Artículo 1128. Las comunicaciones del Artículo 1128 del TLCAN se han centrado en una amplia variedad de cuestiones respecto a la interpretación, alcance y cobertura del tratado, el trato nacional, el nivel mínimo de trato, los requisitos de desempeño y la expropiación. En ocasiones, los tribunales han solicitado la opinión de los Estados Partes no contendientes del TLCAN sobre cuestiones de interpretación de tratados. </w:t>
      </w:r>
      <w:r w:rsidRPr="00926BBB">
        <w:rPr>
          <w:rFonts w:ascii="Verdana" w:hAnsi="Verdana" w:cs="Times New Roman"/>
          <w:sz w:val="18"/>
          <w:szCs w:val="18"/>
          <w:lang w:val="en-US"/>
        </w:rPr>
        <w:t xml:space="preserve">Véase, por ejemplo: </w:t>
      </w:r>
      <w:r w:rsidRPr="00151CBE">
        <w:rPr>
          <w:rFonts w:ascii="Verdana" w:hAnsi="Verdana" w:cs="Times New Roman"/>
          <w:i/>
          <w:sz w:val="18"/>
          <w:szCs w:val="18"/>
          <w:lang w:val="en-US"/>
        </w:rPr>
        <w:t xml:space="preserve">Mobil Investments Canadá Inc. and Murphy Oil Corporation vs. Canadá, </w:t>
      </w:r>
      <w:r w:rsidRPr="00151CBE">
        <w:rPr>
          <w:rFonts w:ascii="Verdana" w:hAnsi="Verdana" w:cs="Times New Roman"/>
          <w:sz w:val="18"/>
          <w:szCs w:val="18"/>
          <w:lang w:val="en-US"/>
        </w:rPr>
        <w:t xml:space="preserve">ICSID Case No. </w:t>
      </w:r>
      <w:r w:rsidRPr="00151CBE">
        <w:rPr>
          <w:rFonts w:ascii="Verdana" w:hAnsi="Verdana" w:cs="Times New Roman"/>
          <w:sz w:val="18"/>
          <w:szCs w:val="18"/>
        </w:rPr>
        <w:t>ARB(AF)/07/4, 2007</w:t>
      </w:r>
      <w:r w:rsidRPr="00926BBB">
        <w:rPr>
          <w:rFonts w:ascii="Verdana" w:hAnsi="Verdana" w:cs="Times New Roman"/>
          <w:sz w:val="18"/>
          <w:szCs w:val="18"/>
        </w:rPr>
        <w:t>, segunda presentación de escritos de los Estados Unidos y México en relación con el Artículo 1128, de fecha21 de enero de 2011.</w:t>
      </w:r>
    </w:p>
  </w:footnote>
  <w:footnote w:id="103">
    <w:p w:rsidR="006E10EA" w:rsidRPr="00926BBB" w:rsidRDefault="006E10EA" w:rsidP="0074486E">
      <w:pPr>
        <w:pStyle w:val="Textonotapie"/>
        <w:rPr>
          <w:rFonts w:ascii="Verdana" w:hAnsi="Verdana" w:cs="Times New Roman"/>
          <w:i/>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Artículo 1127 del TLCAN establece que: “</w:t>
      </w:r>
      <w:r w:rsidRPr="00926BBB">
        <w:rPr>
          <w:rFonts w:ascii="Verdana" w:hAnsi="Verdana" w:cs="Times New Roman"/>
          <w:i/>
          <w:sz w:val="18"/>
          <w:szCs w:val="18"/>
        </w:rPr>
        <w:t>La Parte contendiente entregará a las otras Partes: a) notificación escrita de una reclamación que se haya sometido a arbitraje a más tardar 30 días después de la fecha de sometimiento de la reclamación a arbitraje; y b) copias de todas las comunicaciones presentadas en el procedimiento arbitral”.</w:t>
      </w:r>
    </w:p>
  </w:footnote>
  <w:footnote w:id="104">
    <w:p w:rsidR="006E10EA" w:rsidRPr="001F2548" w:rsidRDefault="006E10EA" w:rsidP="001F2548">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 tales efectos, el Artículo 1129 del TLCAN establece que: 1. “</w:t>
      </w:r>
      <w:r w:rsidRPr="00926BBB">
        <w:rPr>
          <w:rFonts w:ascii="Verdana" w:hAnsi="Verdana" w:cs="Times New Roman"/>
          <w:i/>
          <w:sz w:val="18"/>
          <w:szCs w:val="18"/>
        </w:rPr>
        <w:t>Una Parte tendrá a su costa derecho a recibir de la Parte contendiente una copia de: (a) las pruebas ofrecidas al tribunal; y (b) argumentos escritos presentados por las partes contendientes.</w:t>
      </w:r>
      <w:r w:rsidRPr="00926BBB">
        <w:rPr>
          <w:rFonts w:ascii="Verdana" w:hAnsi="Verdana" w:cs="Times New Roman"/>
          <w:sz w:val="18"/>
          <w:szCs w:val="18"/>
        </w:rPr>
        <w:t xml:space="preserve"> 2.</w:t>
      </w:r>
      <w:r w:rsidRPr="00926BBB">
        <w:rPr>
          <w:rFonts w:ascii="Verdana" w:hAnsi="Verdana" w:cs="Times New Roman"/>
          <w:i/>
          <w:sz w:val="18"/>
          <w:szCs w:val="18"/>
        </w:rPr>
        <w:t xml:space="preserve"> Una Parte que reciba información conforme a lo dispuesto en el párrafo 1, dará tratamiento a la información como si fuera una Parte contendiente</w:t>
      </w:r>
      <w:r w:rsidRPr="00926BBB">
        <w:rPr>
          <w:rFonts w:ascii="Verdana" w:hAnsi="Verdana" w:cs="Times New Roman"/>
          <w:sz w:val="18"/>
          <w:szCs w:val="18"/>
        </w:rPr>
        <w:t>”.</w:t>
      </w:r>
    </w:p>
  </w:footnote>
  <w:footnote w:id="105">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Pr>
          <w:rFonts w:ascii="Verdana" w:hAnsi="Verdana" w:cs="Times New Roman"/>
          <w:sz w:val="18"/>
          <w:szCs w:val="18"/>
        </w:rPr>
        <w:t xml:space="preserve"> </w:t>
      </w:r>
      <w:r w:rsidRPr="00CE1A7D">
        <w:rPr>
          <w:rFonts w:ascii="Verdana" w:hAnsi="Verdana" w:cs="Times New Roman"/>
          <w:sz w:val="18"/>
          <w:szCs w:val="18"/>
        </w:rPr>
        <w:t xml:space="preserve">KINNEAR, M.N. “Artículo 1128 - Participación de una Parte en las disputas de inversión en virtud del TLCAN”, en Guía comentada del TLCAN Capítulo 11, Suplemento No. 1, </w:t>
      </w:r>
      <w:r w:rsidRPr="00CE1A7D">
        <w:rPr>
          <w:rFonts w:ascii="Verdana" w:hAnsi="Verdana" w:cs="Times New Roman"/>
          <w:i/>
          <w:sz w:val="18"/>
          <w:szCs w:val="18"/>
        </w:rPr>
        <w:t>Kluwer Law International</w:t>
      </w:r>
      <w:r w:rsidRPr="00CE1A7D">
        <w:rPr>
          <w:rFonts w:ascii="Verdana" w:hAnsi="Verdana" w:cs="Times New Roman"/>
          <w:sz w:val="18"/>
          <w:szCs w:val="18"/>
        </w:rPr>
        <w:t>, 2006</w:t>
      </w:r>
      <w:r w:rsidRPr="00926BBB">
        <w:rPr>
          <w:rFonts w:ascii="Verdana" w:hAnsi="Verdana" w:cs="Times New Roman"/>
          <w:sz w:val="18"/>
          <w:szCs w:val="18"/>
        </w:rPr>
        <w:t>, p. 1128-1.</w:t>
      </w:r>
    </w:p>
  </w:footnote>
  <w:footnote w:id="106">
    <w:p w:rsidR="006E10EA" w:rsidRPr="00926BBB" w:rsidRDefault="006E10EA" w:rsidP="00A15321">
      <w:pPr>
        <w:pStyle w:val="Textonotapie"/>
        <w:rPr>
          <w:rFonts w:ascii="Verdana" w:hAnsi="Verdana" w:cs="Times New Roman"/>
          <w:sz w:val="18"/>
          <w:szCs w:val="18"/>
          <w:lang w:val="en-US"/>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w:t>
      </w:r>
      <w:r w:rsidRPr="00CE1A7D">
        <w:rPr>
          <w:rFonts w:ascii="Verdana" w:hAnsi="Verdana" w:cs="Times New Roman"/>
          <w:sz w:val="18"/>
          <w:szCs w:val="18"/>
          <w:lang w:val="en-US"/>
        </w:rPr>
        <w:t xml:space="preserve">FRY, J.D., REPOUSIS O.G. “Intertemporality and International Investment Arbitration: Protecting the Jurisdiction of Established Tribunals”, </w:t>
      </w:r>
      <w:r w:rsidRPr="00CE1A7D">
        <w:rPr>
          <w:rFonts w:ascii="Verdana" w:hAnsi="Verdana" w:cs="Times New Roman"/>
          <w:i/>
          <w:sz w:val="18"/>
          <w:szCs w:val="18"/>
          <w:lang w:val="en-US"/>
        </w:rPr>
        <w:t>Arbitration International Law</w:t>
      </w:r>
      <w:r w:rsidRPr="00CE1A7D">
        <w:rPr>
          <w:rFonts w:ascii="Verdana" w:hAnsi="Verdana" w:cs="Times New Roman"/>
          <w:sz w:val="18"/>
          <w:szCs w:val="18"/>
          <w:lang w:val="en-US"/>
        </w:rPr>
        <w:t>, Vol 31, 2015</w:t>
      </w:r>
      <w:r w:rsidRPr="00926BBB">
        <w:rPr>
          <w:rFonts w:ascii="Verdana" w:hAnsi="Verdana" w:cs="Times New Roman"/>
          <w:sz w:val="18"/>
          <w:szCs w:val="18"/>
          <w:lang w:val="en-US"/>
        </w:rPr>
        <w:t>, pp. 223-259.</w:t>
      </w:r>
    </w:p>
  </w:footnote>
  <w:footnote w:id="107">
    <w:p w:rsidR="006E10EA" w:rsidRPr="00926BBB" w:rsidRDefault="006E10EA" w:rsidP="007C2048">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lo adelante, CAFTA-DR. El CAFTA-DR entró en vigor para los Estados Unidos, El Salvador, Guatemala, Honduras y Nicaragua en el año 2006, para la República Dominicana en el año 2007 y para Costa Rica en el año 2009. El Capítulo 10 del CAFTA-DR se refiere a la inversión e incluye disposiciones respecto a las obligaciones de las Partes con respecto a “inversionistas de otra Parte” e “inversiones cubiertas” (Sección A), así como a la solución de controversias entre inversionista y Estado (Sección B). En su artículo 10.20.2 establece que: “</w:t>
      </w:r>
      <w:r w:rsidRPr="00926BBB">
        <w:rPr>
          <w:rFonts w:ascii="Verdana" w:hAnsi="Verdana" w:cs="Times New Roman"/>
          <w:i/>
          <w:sz w:val="18"/>
          <w:szCs w:val="18"/>
        </w:rPr>
        <w:t>Una Parte no contendiente podrá presentar comunicaciones orales o escritas ante el tribunal con respecto a la interpretación de este Tratado</w:t>
      </w:r>
      <w:r w:rsidRPr="00926BBB">
        <w:rPr>
          <w:rFonts w:ascii="Verdana" w:hAnsi="Verdana" w:cs="Times New Roman"/>
          <w:sz w:val="18"/>
          <w:szCs w:val="18"/>
        </w:rPr>
        <w:t>”.</w:t>
      </w:r>
    </w:p>
  </w:footnote>
  <w:footnote w:id="108">
    <w:p w:rsidR="006E10EA" w:rsidRPr="00794ADC" w:rsidRDefault="006E10EA" w:rsidP="00D34630">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artículo 10.21.1 reconoce que: </w:t>
      </w:r>
      <w:r w:rsidRPr="00926BBB">
        <w:rPr>
          <w:rFonts w:ascii="Verdana" w:hAnsi="Verdana" w:cs="Times New Roman"/>
          <w:i/>
          <w:sz w:val="18"/>
          <w:szCs w:val="18"/>
        </w:rPr>
        <w:t>“Sujeto a los párrafos 2 y 4, el demandado, después de recibir los siguientes documentos, los entregará con prontitud a las Partes no contendientes y los pondrá a disposición del público: (a) la notificación de intención; (b) la notificación de arbitraje; (c) los alegatos, escritos de demanda y notas explicativas presentados al tribunal por una parte contendiente y cualquier comunicación escrita presentada de conformidad con el Artículo 10.20.2 y 10.20.3 y el Artículo 10.25; (d) las actas o transcripciones de las audiencias del tribunal, cuando estén disponibles y; (e) las órdenes, laudos y decisiones del tribunal”.</w:t>
      </w:r>
      <w:r w:rsidRPr="00794ADC">
        <w:rPr>
          <w:rFonts w:ascii="Times New Roman" w:hAnsi="Times New Roman" w:cs="Times New Roman"/>
          <w:i/>
        </w:rPr>
        <w:t xml:space="preserve"> </w:t>
      </w:r>
    </w:p>
  </w:footnote>
  <w:footnote w:id="109">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el contexto del CAFTA-DR, podemos citar, entre otros, los siguientes casos: </w:t>
      </w:r>
      <w:r w:rsidRPr="00151CBE">
        <w:rPr>
          <w:rFonts w:ascii="Verdana" w:hAnsi="Verdana" w:cs="Times New Roman"/>
          <w:i/>
          <w:sz w:val="18"/>
          <w:szCs w:val="18"/>
        </w:rPr>
        <w:t xml:space="preserve">Commerce Group Corp. y San Sebastián Gold Mines, Inc. vs. El Salvador, </w:t>
      </w:r>
      <w:r w:rsidRPr="00151CBE">
        <w:rPr>
          <w:rFonts w:ascii="Verdana" w:hAnsi="Verdana" w:cs="Times New Roman"/>
          <w:sz w:val="18"/>
          <w:szCs w:val="18"/>
        </w:rPr>
        <w:t>ICSID Case No. ARB/09/17, 2009</w:t>
      </w:r>
      <w:r w:rsidRPr="00926BBB">
        <w:rPr>
          <w:rFonts w:ascii="Verdana" w:hAnsi="Verdana" w:cs="Times New Roman"/>
          <w:sz w:val="18"/>
          <w:szCs w:val="18"/>
        </w:rPr>
        <w:t>, en el que El Salvador presentó objeciones preliminares de conformidad con el proceso acelerado conforme al Artículo 10.20.5,</w:t>
      </w:r>
      <w:r w:rsidRPr="00926BBB">
        <w:rPr>
          <w:rFonts w:ascii="Verdana" w:hAnsi="Verdana" w:cs="Times New Roman"/>
          <w:i/>
          <w:sz w:val="18"/>
          <w:szCs w:val="18"/>
        </w:rPr>
        <w:t xml:space="preserve"> </w:t>
      </w:r>
      <w:r w:rsidRPr="00926BBB">
        <w:rPr>
          <w:rFonts w:ascii="Verdana" w:hAnsi="Verdana" w:cs="Times New Roman"/>
          <w:sz w:val="18"/>
          <w:szCs w:val="18"/>
        </w:rPr>
        <w:t xml:space="preserve">y se presentaron en el caso dos comunicaciones de Estados Partes no contendientes de conformidad con el Artículo 10.20.2, relativo a la interpretación de la disposición de exención, Artículo 10.18.2: por parte de Costa Rica y de Nicaragua en fecha 1 de noviembre de 2010. Las comunicaciones presentadas por ambos Estados fueron tenidas en cuenta por el tribunal arbitral en el laudo final, el cual se cita las cuestiones más relevantes de las comunicaciones presentadas por ambos Estados Partes no contendientes y que resultaron de gran utilidad en la elaboración de las conclusiones finales, tal y como reconoce el propio tribunal; el caso, </w:t>
      </w:r>
      <w:r w:rsidRPr="00A2151E">
        <w:rPr>
          <w:rFonts w:ascii="Verdana" w:hAnsi="Verdana" w:cs="Times New Roman"/>
          <w:i/>
          <w:sz w:val="18"/>
          <w:szCs w:val="18"/>
        </w:rPr>
        <w:t xml:space="preserve">Railroad Development Corporation vs. Guatemala, </w:t>
      </w:r>
      <w:r w:rsidRPr="00A2151E">
        <w:rPr>
          <w:rFonts w:ascii="Verdana" w:hAnsi="Verdana" w:cs="Times New Roman"/>
          <w:sz w:val="18"/>
          <w:szCs w:val="18"/>
        </w:rPr>
        <w:t>ICSID Case No. ARB/07/23, 2007</w:t>
      </w:r>
      <w:r w:rsidRPr="00926BBB">
        <w:rPr>
          <w:rFonts w:ascii="Verdana" w:hAnsi="Verdana" w:cs="Times New Roman"/>
          <w:sz w:val="18"/>
          <w:szCs w:val="18"/>
        </w:rPr>
        <w:t xml:space="preserve">, en el cual los Estados de  El Salvador y Honduras  presentaron en enero de 2012, comunicación relacionada con el Capítulo 10 del CAFTA-DR, específicamente, respecto a si es posible o no la aplicación del Artículo 10.20.2 y 10.5 a los litigios surgidos con anterioridad a la entrada en vigor del Tratado y a la interpretación del concepto de trato justo y equitativo, respectivamente. </w:t>
      </w:r>
      <w:r w:rsidRPr="00926BBB">
        <w:rPr>
          <w:rFonts w:ascii="Verdana" w:hAnsi="Verdana" w:cs="Times New Roman"/>
          <w:i/>
          <w:sz w:val="18"/>
          <w:szCs w:val="18"/>
        </w:rPr>
        <w:t xml:space="preserve">             </w:t>
      </w:r>
      <w:r w:rsidRPr="00926BBB">
        <w:rPr>
          <w:rFonts w:ascii="Verdana" w:hAnsi="Verdana" w:cs="Times New Roman"/>
          <w:i/>
          <w:sz w:val="18"/>
          <w:szCs w:val="18"/>
          <w:highlight w:val="yellow"/>
        </w:rPr>
        <w:t xml:space="preserve"> </w:t>
      </w:r>
    </w:p>
  </w:footnote>
  <w:footnote w:id="110">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Como puede ser el Reglamento de Arbitraje de la CNUDMI, el cual en su Artículo 28.3 establece: “</w:t>
      </w:r>
      <w:r w:rsidRPr="003700E8">
        <w:rPr>
          <w:rFonts w:ascii="Verdana" w:hAnsi="Verdana" w:cs="Times New Roman"/>
          <w:i/>
          <w:sz w:val="18"/>
          <w:szCs w:val="18"/>
        </w:rPr>
        <w:t>Las audiencias se celebrarán a puerta cerrada a menos que las partes acuerden lo contrario. El tribunal arbitral podrá requerir a todo testigo o perito que se retire durante la declaración de otros testigos, salvo que, en principio, no deberá requerirse, a un testigo o perito que sea parte en el arbitraje, que se retire</w:t>
      </w:r>
      <w:r w:rsidRPr="003700E8">
        <w:rPr>
          <w:rFonts w:ascii="Verdana" w:hAnsi="Verdana" w:cs="Times New Roman"/>
          <w:sz w:val="18"/>
          <w:szCs w:val="18"/>
        </w:rPr>
        <w:t xml:space="preserve">”. </w:t>
      </w:r>
    </w:p>
  </w:footnote>
  <w:footnote w:id="111">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Al respecto, el Artículo 6.1 del Reglamento sobre la Transparencia establece: “</w:t>
      </w:r>
      <w:r w:rsidRPr="003700E8">
        <w:rPr>
          <w:rFonts w:ascii="Verdana" w:hAnsi="Verdana" w:cs="Times New Roman"/>
          <w:i/>
          <w:sz w:val="18"/>
          <w:szCs w:val="18"/>
        </w:rPr>
        <w:t>A reserva de lo dispuesto en el artículo 6, párrafo 2 y 3, las audiencias para la presentación de pruebas o para alegatos orales (audiencias) serán públicas</w:t>
      </w:r>
      <w:r w:rsidRPr="003700E8">
        <w:rPr>
          <w:rFonts w:ascii="Verdana" w:hAnsi="Verdana" w:cs="Times New Roman"/>
          <w:sz w:val="18"/>
          <w:szCs w:val="18"/>
        </w:rPr>
        <w:t xml:space="preserve">”. </w:t>
      </w:r>
    </w:p>
  </w:footnote>
  <w:footnote w:id="112">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Tal como establece el Artículo 6.2 del Reglamento sobre la Transparencia: “</w:t>
      </w:r>
      <w:r w:rsidRPr="003700E8">
        <w:rPr>
          <w:rFonts w:ascii="Verdana" w:hAnsi="Verdana" w:cs="Times New Roman"/>
          <w:i/>
          <w:sz w:val="18"/>
          <w:szCs w:val="18"/>
        </w:rPr>
        <w:t>Cuando sea necesario proteger la información confidencial o la integridad del proceso arbitral con arreglo a lo establecido en el artículo 7, el tribunal arbitral adoptará disposiciones para celebrar en privado la parte de la audiencia que deba ser protegida</w:t>
      </w:r>
      <w:r w:rsidRPr="003700E8">
        <w:rPr>
          <w:rFonts w:ascii="Verdana" w:hAnsi="Verdana" w:cs="Times New Roman"/>
          <w:sz w:val="18"/>
          <w:szCs w:val="18"/>
        </w:rPr>
        <w:t xml:space="preserve">”. </w:t>
      </w:r>
    </w:p>
  </w:footnote>
  <w:footnote w:id="113">
    <w:p w:rsidR="006E10EA" w:rsidRPr="003700E8" w:rsidRDefault="006E10EA">
      <w:pPr>
        <w:pStyle w:val="Textonotapie"/>
        <w:rPr>
          <w:rFonts w:ascii="Verdana" w:hAnsi="Verdana"/>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Artículo 6.3 del Reglamento establece: “</w:t>
      </w:r>
      <w:r w:rsidRPr="003700E8">
        <w:rPr>
          <w:rFonts w:ascii="Verdana" w:hAnsi="Verdana" w:cs="Times New Roman"/>
          <w:i/>
          <w:sz w:val="18"/>
          <w:szCs w:val="18"/>
        </w:rPr>
        <w:t>El tribunal arbitral adoptará disposiciones logísticas para facilitar el acceso del público a las audiencias (incluso, según proceda, organizando la asistencia mediante enlaces de vídeo u otros medios que estime conveniente). No obstante, el tribunal arbitral podrá, tras celebrar consultas con las partes litigantes, decidir que toda la audiencia o parte de ella se celebre en privado cuando resulte necesario por motivos logísticos, por ejemplo, cuando debido a las circunstancias no pueda adoptarse ninguna disposición logística viable para permitir el acceso del público a las audiencias</w:t>
      </w:r>
      <w:r w:rsidRPr="003700E8">
        <w:rPr>
          <w:rFonts w:ascii="Verdana" w:hAnsi="Verdana" w:cs="Times New Roman"/>
          <w:sz w:val="18"/>
          <w:szCs w:val="18"/>
        </w:rPr>
        <w:t xml:space="preserve">”. </w:t>
      </w:r>
    </w:p>
  </w:footnote>
  <w:footnote w:id="114">
    <w:p w:rsidR="006E10EA" w:rsidRPr="00926BBB" w:rsidRDefault="006E10EA" w:rsidP="007F0220">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 el caso </w:t>
      </w:r>
      <w:r w:rsidRPr="00B4697A">
        <w:rPr>
          <w:rFonts w:ascii="Verdana" w:hAnsi="Verdana" w:cs="Times New Roman"/>
          <w:i/>
          <w:sz w:val="18"/>
          <w:szCs w:val="18"/>
        </w:rPr>
        <w:t>Pac Rim Cayman L</w:t>
      </w:r>
      <w:r w:rsidR="00A2151E" w:rsidRPr="00B4697A">
        <w:rPr>
          <w:rFonts w:ascii="Verdana" w:hAnsi="Verdana" w:cs="Times New Roman"/>
          <w:i/>
          <w:sz w:val="18"/>
          <w:szCs w:val="18"/>
        </w:rPr>
        <w:t>LC</w:t>
      </w:r>
      <w:r w:rsidR="00A2151E">
        <w:rPr>
          <w:rFonts w:ascii="Verdana" w:hAnsi="Verdana" w:cs="Times New Roman"/>
          <w:i/>
          <w:sz w:val="18"/>
          <w:szCs w:val="18"/>
        </w:rPr>
        <w:t xml:space="preserve"> vs. República de El Salvador, </w:t>
      </w:r>
      <w:r w:rsidRPr="003700E8">
        <w:rPr>
          <w:rFonts w:ascii="Verdana" w:hAnsi="Verdana" w:cs="Times New Roman"/>
          <w:sz w:val="18"/>
          <w:szCs w:val="18"/>
        </w:rPr>
        <w:t>Caso CIADI N</w:t>
      </w:r>
      <w:r w:rsidR="00A2151E">
        <w:rPr>
          <w:rFonts w:ascii="Verdana" w:hAnsi="Verdana" w:cs="Times New Roman"/>
          <w:sz w:val="18"/>
          <w:szCs w:val="18"/>
        </w:rPr>
        <w:t>o. ARB/09/12</w:t>
      </w:r>
      <w:r w:rsidRPr="003700E8">
        <w:rPr>
          <w:rFonts w:ascii="Verdana" w:hAnsi="Verdana" w:cs="Times New Roman"/>
          <w:sz w:val="18"/>
          <w:szCs w:val="18"/>
        </w:rPr>
        <w:t xml:space="preserve">, 2009. Documentación disponible en: </w:t>
      </w:r>
      <w:hyperlink r:id="rId16" w:history="1">
        <w:r w:rsidRPr="003700E8">
          <w:rPr>
            <w:rStyle w:val="Hipervnculo"/>
            <w:rFonts w:ascii="Verdana" w:hAnsi="Verdana" w:cs="Times New Roman"/>
            <w:sz w:val="18"/>
            <w:szCs w:val="18"/>
          </w:rPr>
          <w:t>https://www.italaw.com/cases/783</w:t>
        </w:r>
      </w:hyperlink>
      <w:r>
        <w:rPr>
          <w:rFonts w:ascii="Verdana" w:hAnsi="Verdana" w:cs="Times New Roman"/>
          <w:sz w:val="18"/>
          <w:szCs w:val="18"/>
        </w:rPr>
        <w:t>, consultado el 15</w:t>
      </w:r>
      <w:r w:rsidRPr="003700E8">
        <w:rPr>
          <w:rFonts w:ascii="Verdana" w:hAnsi="Verdana" w:cs="Times New Roman"/>
          <w:sz w:val="18"/>
          <w:szCs w:val="18"/>
        </w:rPr>
        <w:t>/0</w:t>
      </w:r>
      <w:r>
        <w:rPr>
          <w:rFonts w:ascii="Verdana" w:hAnsi="Verdana" w:cs="Times New Roman"/>
          <w:sz w:val="18"/>
          <w:szCs w:val="18"/>
        </w:rPr>
        <w:t>5</w:t>
      </w:r>
      <w:r w:rsidRPr="003700E8">
        <w:rPr>
          <w:rFonts w:ascii="Verdana" w:hAnsi="Verdana" w:cs="Times New Roman"/>
          <w:sz w:val="18"/>
          <w:szCs w:val="18"/>
        </w:rPr>
        <w:t>/2019.</w:t>
      </w:r>
    </w:p>
  </w:footnote>
  <w:footnote w:id="115">
    <w:p w:rsidR="006E10EA" w:rsidRPr="0079724F" w:rsidRDefault="006E10EA">
      <w:pPr>
        <w:pStyle w:val="Textonotapie"/>
        <w:rPr>
          <w:rFonts w:ascii="Times New Roman" w:hAnsi="Times New Roman" w:cs="Times New Roman"/>
          <w:lang w:val="en-US"/>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De esta forma, el Reglamento sobre la Transparencia no se aleja mucho de la Regla 32(2) del Reglamento del CIADI y la Regla 39(2) del Mecanismo Complementario, las cuales coinciden en establecer: “</w:t>
      </w:r>
      <w:r w:rsidRPr="00926BBB">
        <w:rPr>
          <w:rFonts w:ascii="Verdana" w:hAnsi="Verdana" w:cs="Times New Roman"/>
          <w:i/>
          <w:sz w:val="18"/>
          <w:szCs w:val="18"/>
        </w:rPr>
        <w:t>Salvo objeción de alguna de las partes, el Tribunal, tras consultar con el Secretario General, podrá permitir, sujeto a los arreglos logísticos pertinentes, que otras personas, además</w:t>
      </w:r>
      <w:r>
        <w:rPr>
          <w:rFonts w:ascii="Verdana" w:hAnsi="Verdana" w:cs="Times New Roman"/>
          <w:i/>
          <w:sz w:val="18"/>
          <w:szCs w:val="18"/>
        </w:rPr>
        <w:t xml:space="preserve"> de las partes, sus apoderados, </w:t>
      </w:r>
      <w:r w:rsidRPr="00926BBB">
        <w:rPr>
          <w:rFonts w:ascii="Verdana" w:hAnsi="Verdana" w:cs="Times New Roman"/>
          <w:i/>
          <w:sz w:val="18"/>
          <w:szCs w:val="18"/>
        </w:rPr>
        <w:t>consejeros y abogados, testigos y peritos durante su testimonio, y funcionarios del Tribunal, asistan a la totalidad o parte de las audiencias, o las observen. En dichos casos el Tribunal deberá establecer procedimientos para la protección de la información privilegiada o protegida</w:t>
      </w:r>
      <w:r w:rsidRPr="00926BBB">
        <w:rPr>
          <w:rFonts w:ascii="Verdana" w:hAnsi="Verdana" w:cs="Times New Roman"/>
          <w:sz w:val="18"/>
          <w:szCs w:val="18"/>
        </w:rPr>
        <w:t>”.</w:t>
      </w:r>
      <w:r>
        <w:rPr>
          <w:rFonts w:ascii="Times New Roman" w:hAnsi="Times New Roman" w:cs="Times New Roman"/>
        </w:rPr>
        <w:t xml:space="preserve"> </w:t>
      </w:r>
    </w:p>
  </w:footnote>
  <w:footnote w:id="116">
    <w:p w:rsidR="006E10EA" w:rsidRPr="00926BBB" w:rsidRDefault="006E10EA">
      <w:pPr>
        <w:pStyle w:val="Textonotapie"/>
        <w:rPr>
          <w:rFonts w:ascii="Verdana" w:hAnsi="Verdana"/>
          <w:sz w:val="18"/>
          <w:szCs w:val="18"/>
          <w:lang w:val="es-MX"/>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Véase, el caso</w:t>
      </w:r>
      <w:r w:rsidRPr="00926BBB">
        <w:rPr>
          <w:rFonts w:ascii="Verdana" w:hAnsi="Verdana"/>
          <w:sz w:val="18"/>
          <w:szCs w:val="18"/>
        </w:rPr>
        <w:t xml:space="preserve">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ICSID Case No. ARB/14/22. Procedural Order No. 2, “Transparency”, páragrahp 14 (iii), 2015; “</w:t>
      </w:r>
      <w:r w:rsidRPr="00926BBB">
        <w:rPr>
          <w:rFonts w:ascii="Verdana" w:hAnsi="Verdana" w:cs="Times New Roman"/>
          <w:i/>
          <w:sz w:val="18"/>
          <w:szCs w:val="18"/>
          <w:lang w:val="en-US"/>
        </w:rPr>
        <w:t>At any time during the hearings, a Party may request that a part of the hearing be held in private and that confidential, that the broadcast of the hearing be temporarily suspended or that protected information be excluded from the video transmission. To the extent possible, a Party shall inform the Tribunal before raising topics where confidential or protected information could reasonably be expected to arise. The Tribunal will then consult the Parties. Such consultations shall be held in camera and the transcript shall be marked “confidential”. After consultation with the Parties, the Tribunal will decide whether to exclude the information in question from the broadcast and the relevant portion of the transcript shall be marked “confidential”. The transcript made public by the Repository shall redact those portions of the hearing marked “confidential</w:t>
      </w:r>
      <w:r w:rsidRPr="00926BBB">
        <w:rPr>
          <w:rFonts w:ascii="Verdana" w:hAnsi="Verdana" w:cs="Times New Roman"/>
          <w:sz w:val="18"/>
          <w:szCs w:val="18"/>
          <w:lang w:val="en-US"/>
        </w:rPr>
        <w:t>”.</w:t>
      </w:r>
    </w:p>
  </w:footnote>
  <w:footnote w:id="117">
    <w:p w:rsidR="006E10EA" w:rsidRPr="00926BBB" w:rsidRDefault="006E10EA" w:rsidP="0038780F">
      <w:pPr>
        <w:pStyle w:val="Textonotapie"/>
        <w:rPr>
          <w:rFonts w:ascii="Verdana" w:hAnsi="Verdana"/>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Tal y como ha sucedido en el caso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w:t>
      </w:r>
      <w:bookmarkStart w:id="54" w:name="_Hlk491565553"/>
      <w:r w:rsidRPr="00926BBB">
        <w:rPr>
          <w:rFonts w:ascii="Verdana" w:hAnsi="Verdana" w:cs="Times New Roman"/>
          <w:sz w:val="18"/>
          <w:szCs w:val="18"/>
        </w:rPr>
        <w:t>Procedural Order No. 2, “Transparency”, 2015, páragrahp 14. (i)</w:t>
      </w:r>
      <w:bookmarkEnd w:id="54"/>
      <w:r w:rsidRPr="00926BBB">
        <w:rPr>
          <w:rFonts w:ascii="Verdana" w:hAnsi="Verdana" w:cs="Times New Roman"/>
          <w:sz w:val="18"/>
          <w:szCs w:val="18"/>
        </w:rPr>
        <w:t xml:space="preserve">, </w:t>
      </w:r>
      <w:r w:rsidRPr="00926BBB">
        <w:rPr>
          <w:rFonts w:ascii="Verdana" w:hAnsi="Verdana" w:cs="Times New Roman"/>
          <w:sz w:val="18"/>
          <w:szCs w:val="18"/>
          <w:lang w:val="en-US"/>
        </w:rPr>
        <w:t>donde el tribunal argumenta; “</w:t>
      </w:r>
      <w:r w:rsidRPr="00926BBB">
        <w:rPr>
          <w:rFonts w:ascii="Verdana" w:hAnsi="Verdana" w:cs="Times New Roman"/>
          <w:i/>
          <w:sz w:val="18"/>
          <w:szCs w:val="18"/>
          <w:lang w:val="en-US"/>
        </w:rPr>
        <w:t>The hearings will be broadcast and made publicly accessible by video link on the ICSID website. An audio-video recording will also be made of hearings. For logistical reasons, physical attendance by third persons at hearings shall be subject to the Tribunal’s approval”.</w:t>
      </w:r>
    </w:p>
  </w:footnote>
  <w:footnote w:id="118">
    <w:p w:rsidR="006E10EA" w:rsidRPr="00B74F8F"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Artículo 7.1 del Reglamento sobre la Transparencia establece: “</w:t>
      </w:r>
      <w:r w:rsidRPr="00926BBB">
        <w:rPr>
          <w:rFonts w:ascii="Verdana" w:hAnsi="Verdana" w:cs="Times New Roman"/>
          <w:i/>
          <w:sz w:val="18"/>
          <w:szCs w:val="18"/>
        </w:rPr>
        <w:t>La información confidencial o protegida, como se define en el párrafo 2 y se determina en cumplimiento de las disposiciones a que se hace referencia en los párrafos 3 y 4, no se pondrá a disposición del público con arreglo a los artículos 2 a 6</w:t>
      </w:r>
      <w:r w:rsidRPr="00926BBB">
        <w:rPr>
          <w:rFonts w:ascii="Verdana" w:hAnsi="Verdana" w:cs="Times New Roman"/>
          <w:sz w:val="18"/>
          <w:szCs w:val="18"/>
        </w:rPr>
        <w:t>”.</w:t>
      </w:r>
    </w:p>
  </w:footnote>
  <w:footnote w:id="119">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Al respecto, el Artículo 7.2 del Reglamento sobre la Transparencia establece: “</w:t>
      </w:r>
      <w:r w:rsidRPr="00926BBB">
        <w:rPr>
          <w:rFonts w:ascii="Verdana" w:hAnsi="Verdana" w:cs="Times New Roman"/>
          <w:i/>
          <w:sz w:val="18"/>
          <w:szCs w:val="18"/>
        </w:rPr>
        <w:t>La información confidencial o protegida consiste en: a) Información comercial confidencial; b) Información que, conforme al tratado, no debe ponerse a disposición del público; c) Información que no debe ponerse a disposición del público, en el caso de la información del Estado demandado, con arreglo a la legalización de este, y en el caso de información de otro tipo, con arreglo a cualquier ley o normativa que el  tribunal arbitral determine que es aplicable a la divulgación de esa clase de información; o, d) Información cuya divulgación impidiera hacer cumplir la ley</w:t>
      </w:r>
      <w:r w:rsidRPr="00926BBB">
        <w:rPr>
          <w:rFonts w:ascii="Verdana" w:hAnsi="Verdana" w:cs="Times New Roman"/>
          <w:sz w:val="18"/>
          <w:szCs w:val="18"/>
        </w:rPr>
        <w:t>”.</w:t>
      </w:r>
    </w:p>
  </w:footnote>
  <w:footnote w:id="120">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y como lo establece el Artículo 7.3 del Reglamento sobre la Transparencia: “</w:t>
      </w:r>
      <w:r w:rsidRPr="00926BBB">
        <w:rPr>
          <w:rFonts w:ascii="Verdana" w:hAnsi="Verdana" w:cs="Times New Roman"/>
          <w:i/>
          <w:sz w:val="18"/>
          <w:szCs w:val="18"/>
        </w:rPr>
        <w:t>El tribunal arbitral, tras celebrar consultas con las partes litigantes, adoptará disposiciones para impedir que se ponga información confidencial o protegida a disposición del público</w:t>
      </w:r>
      <w:r w:rsidRPr="00926BBB">
        <w:rPr>
          <w:rFonts w:ascii="Verdana" w:hAnsi="Verdana" w:cs="Times New Roman"/>
          <w:sz w:val="18"/>
          <w:szCs w:val="18"/>
        </w:rPr>
        <w:t>”.</w:t>
      </w:r>
    </w:p>
  </w:footnote>
  <w:footnote w:id="121">
    <w:p w:rsidR="006E10EA" w:rsidRPr="00926BBB" w:rsidRDefault="006E10EA" w:rsidP="002438F2">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Véase, el caso </w:t>
      </w:r>
      <w:r w:rsidRPr="00926BBB">
        <w:rPr>
          <w:rFonts w:ascii="Verdana" w:hAnsi="Verdana" w:cs="Times New Roman"/>
          <w:i/>
          <w:sz w:val="18"/>
          <w:szCs w:val="18"/>
          <w:lang w:val="en-US"/>
        </w:rPr>
        <w:t>BSG Resources Limited, BSG Resources (Guinea) Limited and BSG Resources (Guinea) 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Procedural Order No. 2, “Transparency”, 2015, páragrahp 15. “Pursuant to Article 7(3)(a), each Party or third person shall give notice within 21 days from the filing of a document that it seeks protection for confidential or protected information in that document. In the absence of such notice, the Tribunal will authorize the publication of any document mentioned in Section 12(iii) above”. El artículo 7.3 a) del Reglamento sobre la Transparencia, faculta al tribunal al disponer, “</w:t>
      </w:r>
      <w:r w:rsidRPr="00926BBB">
        <w:rPr>
          <w:rFonts w:ascii="Verdana" w:hAnsi="Verdana" w:cs="Times New Roman"/>
          <w:i/>
          <w:sz w:val="18"/>
          <w:szCs w:val="18"/>
        </w:rPr>
        <w:t>los plazos para que una parte litigante, una parte en el tratado no litigante o un tercero indique que desea proteger dicha información en los documentos</w:t>
      </w:r>
      <w:r w:rsidRPr="00926BBB">
        <w:rPr>
          <w:rFonts w:ascii="Verdana" w:hAnsi="Verdana" w:cs="Times New Roman"/>
          <w:sz w:val="18"/>
          <w:szCs w:val="18"/>
        </w:rPr>
        <w:t xml:space="preserve">”. </w:t>
      </w:r>
    </w:p>
  </w:footnote>
  <w:footnote w:id="122">
    <w:p w:rsidR="006E10EA" w:rsidRPr="00926BBB" w:rsidRDefault="006E10EA" w:rsidP="00BD405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como lo establecen los Artículos 7.3 b) y c), los cuales establecen que el tribunal procederá con los </w:t>
      </w:r>
      <w:r>
        <w:rPr>
          <w:rFonts w:ascii="Verdana" w:hAnsi="Verdana" w:cs="Times New Roman"/>
          <w:i/>
          <w:sz w:val="18"/>
          <w:szCs w:val="18"/>
        </w:rPr>
        <w:t>“procedimientos para</w:t>
      </w:r>
      <w:r w:rsidRPr="00926BBB">
        <w:rPr>
          <w:rFonts w:ascii="Verdana" w:hAnsi="Verdana" w:cs="Times New Roman"/>
          <w:i/>
          <w:sz w:val="18"/>
          <w:szCs w:val="18"/>
        </w:rPr>
        <w:t xml:space="preserve"> seleccionar y suprimir rápidamente de esos documentos la información confidencial o protegida; y los procedimientos para celebrar audiencias en privado, en la medida en que ello se prevea en el artículo 6, párrafo 2. El tribunal arbitral decidirá, previa consulta con las partes litigantes, si determinada información es confidencial o protegida</w:t>
      </w:r>
      <w:r w:rsidRPr="00926BBB">
        <w:rPr>
          <w:rFonts w:ascii="Verdana" w:hAnsi="Verdana" w:cs="Times New Roman"/>
          <w:sz w:val="18"/>
          <w:szCs w:val="18"/>
        </w:rPr>
        <w:t>”.</w:t>
      </w:r>
    </w:p>
  </w:footnote>
  <w:footnote w:id="123">
    <w:p w:rsidR="006E10EA" w:rsidRPr="00926BBB" w:rsidRDefault="006E10EA" w:rsidP="00BD405A">
      <w:pPr>
        <w:pStyle w:val="Textonotapie"/>
        <w:rPr>
          <w:rFonts w:ascii="Verdana" w:hAnsi="Verdana"/>
          <w:sz w:val="18"/>
          <w:szCs w:val="18"/>
          <w:lang w:val="es-MX"/>
        </w:rPr>
      </w:pPr>
      <w:r w:rsidRPr="00926BBB">
        <w:rPr>
          <w:rStyle w:val="Refdenotaalpie"/>
          <w:rFonts w:ascii="Verdana" w:hAnsi="Verdana"/>
          <w:sz w:val="18"/>
          <w:szCs w:val="18"/>
        </w:rPr>
        <w:footnoteRef/>
      </w:r>
      <w:r w:rsidRPr="00926BBB">
        <w:rPr>
          <w:rFonts w:ascii="Verdana" w:hAnsi="Verdana"/>
          <w:sz w:val="18"/>
          <w:szCs w:val="18"/>
        </w:rPr>
        <w:t xml:space="preserve"> </w:t>
      </w:r>
      <w:r w:rsidRPr="00926BBB">
        <w:rPr>
          <w:rFonts w:ascii="Verdana" w:hAnsi="Verdana" w:cs="Times New Roman"/>
          <w:sz w:val="18"/>
          <w:szCs w:val="18"/>
          <w:lang w:val="en-US"/>
        </w:rPr>
        <w:t xml:space="preserve">Véase también, el caso, </w:t>
      </w:r>
      <w:r w:rsidRPr="00926BBB">
        <w:rPr>
          <w:rFonts w:ascii="Verdana" w:hAnsi="Verdana" w:cs="Times New Roman"/>
          <w:i/>
          <w:sz w:val="18"/>
          <w:szCs w:val="18"/>
          <w:lang w:val="en-US"/>
        </w:rPr>
        <w:t>BSG Resources Limited, BSG Resources (Guinea) Limited and BSG Resources (Guinea)</w:t>
      </w:r>
      <w:r w:rsidRPr="00926BBB">
        <w:rPr>
          <w:rFonts w:ascii="Verdana" w:hAnsi="Verdana" w:cs="Times New Roman"/>
          <w:sz w:val="18"/>
          <w:szCs w:val="18"/>
          <w:lang w:val="en-US"/>
        </w:rPr>
        <w:t xml:space="preserve"> </w:t>
      </w:r>
      <w:r w:rsidRPr="00926BBB">
        <w:rPr>
          <w:rFonts w:ascii="Verdana" w:hAnsi="Verdana" w:cs="Times New Roman"/>
          <w:i/>
          <w:sz w:val="18"/>
          <w:szCs w:val="18"/>
          <w:lang w:val="en-US"/>
        </w:rPr>
        <w:t>SÀRL vs. Republic of Guinea</w:t>
      </w:r>
      <w:r w:rsidRPr="00926BBB">
        <w:rPr>
          <w:rFonts w:ascii="Verdana" w:hAnsi="Verdana" w:cs="Times New Roman"/>
          <w:sz w:val="18"/>
          <w:szCs w:val="18"/>
          <w:lang w:val="en-US"/>
        </w:rPr>
        <w:t xml:space="preserve">, ICSID Case No. </w:t>
      </w:r>
      <w:r w:rsidRPr="00926BBB">
        <w:rPr>
          <w:rFonts w:ascii="Verdana" w:hAnsi="Verdana" w:cs="Times New Roman"/>
          <w:sz w:val="18"/>
          <w:szCs w:val="18"/>
        </w:rPr>
        <w:t>ARB/14/22. Véase, Procedural Order No. 2, “Transparency”, 2015, páragrahp 16; “</w:t>
      </w:r>
      <w:r w:rsidRPr="00926BBB">
        <w:rPr>
          <w:rFonts w:ascii="Verdana" w:hAnsi="Verdana" w:cs="Times New Roman"/>
          <w:i/>
          <w:sz w:val="18"/>
          <w:szCs w:val="18"/>
        </w:rPr>
        <w:t>Pursuant to Article 7(3)(b), any request to protect confidential or protected information made in accordance with the preceding paragraph shall specifically identify the part (or</w:t>
      </w:r>
      <w:r w:rsidRPr="00BD405A">
        <w:rPr>
          <w:rFonts w:ascii="Times New Roman" w:hAnsi="Times New Roman" w:cs="Times New Roman"/>
          <w:i/>
        </w:rPr>
        <w:t xml:space="preserve"> </w:t>
      </w:r>
      <w:r w:rsidRPr="00926BBB">
        <w:rPr>
          <w:rFonts w:ascii="Verdana" w:hAnsi="Verdana" w:cs="Times New Roman"/>
          <w:i/>
          <w:sz w:val="18"/>
          <w:szCs w:val="18"/>
        </w:rPr>
        <w:t>parts) of the document sought to be designated as confidential or protected. After consulting the Parties, the Tribunal will decide whether the identified information is confidential or protected. If the information is found to be confidential or protected, the Party or third person will provide the Tribunal with a redacted version of the document in question. The Tribunal will thereafter transmit that document to the Repository for publication</w:t>
      </w:r>
      <w:r w:rsidRPr="00926BBB">
        <w:rPr>
          <w:rFonts w:ascii="Verdana" w:hAnsi="Verdana" w:cs="Times New Roman"/>
          <w:sz w:val="18"/>
          <w:szCs w:val="18"/>
        </w:rPr>
        <w:t>”.</w:t>
      </w:r>
    </w:p>
  </w:footnote>
  <w:footnote w:id="124">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Véase, Artículo 7.2 c) del Reglamento.</w:t>
      </w:r>
    </w:p>
  </w:footnote>
  <w:footnote w:id="125">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y como lo establece el Artículo 7.5 del Reglamento sobre la Transparencia: “</w:t>
      </w:r>
      <w:r w:rsidRPr="00926BBB">
        <w:rPr>
          <w:rFonts w:ascii="Verdana" w:hAnsi="Verdana" w:cs="Times New Roman"/>
          <w:i/>
          <w:sz w:val="18"/>
          <w:szCs w:val="18"/>
        </w:rPr>
        <w:t>Nada de lo dispuesto en este Reglamento obligará al Estado demandado a poner a disposición del público información cuya divulgación considere contraria a sus intereses de seguridad esenciales</w:t>
      </w:r>
      <w:r w:rsidRPr="00926BBB">
        <w:rPr>
          <w:rFonts w:ascii="Verdana" w:hAnsi="Verdana" w:cs="Times New Roman"/>
          <w:sz w:val="18"/>
          <w:szCs w:val="18"/>
        </w:rPr>
        <w:t>”.</w:t>
      </w:r>
    </w:p>
  </w:footnote>
  <w:footnote w:id="126">
    <w:p w:rsidR="006E10EA" w:rsidRPr="00926BBB" w:rsidRDefault="006E10EA" w:rsidP="00150996">
      <w:pPr>
        <w:pStyle w:val="Textonotapie"/>
        <w:rPr>
          <w:rFonts w:ascii="Verdana" w:hAnsi="Verdana" w:cs="Times New Roman"/>
          <w:sz w:val="18"/>
          <w:szCs w:val="18"/>
          <w:lang w:val="es-MX"/>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Artículo 2 de la Ley 9/1968, de 5 de abril, sobre secretos oficiales. Publicada en el BOE, No. 84, de 6 de abril de 1968.</w:t>
      </w:r>
    </w:p>
  </w:footnote>
  <w:footnote w:id="127">
    <w:p w:rsidR="006E10EA" w:rsidRPr="00926BBB" w:rsidRDefault="006E10EA">
      <w:pPr>
        <w:pStyle w:val="Textonotapie"/>
        <w:rPr>
          <w:rFonts w:ascii="Verdana" w:hAnsi="Verdana" w:cs="Times New Roman"/>
          <w:sz w:val="18"/>
          <w:szCs w:val="18"/>
          <w:lang w:val="en-US"/>
        </w:rPr>
      </w:pPr>
      <w:r w:rsidRPr="00926BBB">
        <w:rPr>
          <w:rStyle w:val="Refdenotaalpie"/>
          <w:rFonts w:ascii="Verdana" w:hAnsi="Verdana" w:cs="Times New Roman"/>
          <w:sz w:val="18"/>
          <w:szCs w:val="18"/>
        </w:rPr>
        <w:footnoteRef/>
      </w:r>
      <w:r>
        <w:rPr>
          <w:rFonts w:ascii="Verdana" w:hAnsi="Verdana" w:cs="Times New Roman"/>
          <w:sz w:val="18"/>
          <w:szCs w:val="18"/>
          <w:lang w:val="en-US"/>
        </w:rPr>
        <w:t xml:space="preserve"> </w:t>
      </w:r>
      <w:r w:rsidRPr="00923EEF">
        <w:rPr>
          <w:rFonts w:ascii="Verdana" w:hAnsi="Verdana" w:cs="Times New Roman"/>
          <w:sz w:val="18"/>
          <w:szCs w:val="18"/>
          <w:lang w:val="en-US"/>
        </w:rPr>
        <w:t xml:space="preserve">YANNACA-SMALL, K. “Essential Security Interests under International Investment Law”, </w:t>
      </w:r>
      <w:r w:rsidRPr="00923EEF">
        <w:rPr>
          <w:rFonts w:ascii="Verdana" w:hAnsi="Verdana" w:cs="Times New Roman"/>
          <w:i/>
          <w:sz w:val="18"/>
          <w:szCs w:val="18"/>
          <w:lang w:val="en-US"/>
        </w:rPr>
        <w:t>OECD International Investment Perspectives: Freedom of Investment in a Changing World</w:t>
      </w:r>
      <w:r w:rsidRPr="00923EEF">
        <w:rPr>
          <w:rFonts w:ascii="Verdana" w:hAnsi="Verdana" w:cs="Times New Roman"/>
          <w:sz w:val="18"/>
          <w:szCs w:val="18"/>
          <w:lang w:val="en-US"/>
        </w:rPr>
        <w:t>, Paris, 2007</w:t>
      </w:r>
      <w:r w:rsidRPr="00926BBB">
        <w:rPr>
          <w:rFonts w:ascii="Verdana" w:hAnsi="Verdana" w:cs="Times New Roman"/>
          <w:sz w:val="18"/>
          <w:szCs w:val="18"/>
          <w:lang w:val="en-US"/>
        </w:rPr>
        <w:t>.</w:t>
      </w:r>
    </w:p>
  </w:footnote>
  <w:footnote w:id="128">
    <w:p w:rsidR="006E10EA" w:rsidRPr="00926BBB" w:rsidRDefault="006E10EA">
      <w:pPr>
        <w:pStyle w:val="Textonotapie"/>
        <w:rPr>
          <w:rFonts w:ascii="Verdana" w:hAnsi="Verdana" w:cs="Times New Roman"/>
          <w:sz w:val="18"/>
          <w:szCs w:val="18"/>
          <w:lang w:val="en-US"/>
        </w:rPr>
      </w:pPr>
      <w:r w:rsidRPr="00926BBB">
        <w:rPr>
          <w:rStyle w:val="Refdenotaalpie"/>
          <w:rFonts w:ascii="Verdana" w:hAnsi="Verdana" w:cs="Times New Roman"/>
          <w:sz w:val="18"/>
          <w:szCs w:val="18"/>
        </w:rPr>
        <w:footnoteRef/>
      </w:r>
      <w:r w:rsidRPr="00926BBB">
        <w:rPr>
          <w:rFonts w:ascii="Verdana" w:hAnsi="Verdana" w:cs="Times New Roman"/>
          <w:sz w:val="18"/>
          <w:szCs w:val="18"/>
          <w:lang w:val="en-US"/>
        </w:rPr>
        <w:t xml:space="preserve"> JOHNSON,</w:t>
      </w:r>
      <w:r>
        <w:rPr>
          <w:rFonts w:ascii="Verdana" w:hAnsi="Verdana" w:cs="Times New Roman"/>
          <w:sz w:val="18"/>
          <w:szCs w:val="18"/>
          <w:lang w:val="en-US"/>
        </w:rPr>
        <w:t xml:space="preserve"> L., BERNASCONI-OSTERWALDER, N.</w:t>
      </w:r>
      <w:r w:rsidRPr="00926BBB">
        <w:rPr>
          <w:rFonts w:ascii="Verdana" w:hAnsi="Verdana" w:cs="Times New Roman"/>
          <w:sz w:val="18"/>
          <w:szCs w:val="18"/>
          <w:lang w:val="en-US"/>
        </w:rPr>
        <w:t xml:space="preserve"> New UNCITRAL Arbitration Rules on Transparency…</w:t>
      </w:r>
      <w:r w:rsidRPr="00926BBB">
        <w:rPr>
          <w:rFonts w:ascii="Verdana" w:hAnsi="Verdana" w:cs="Times New Roman"/>
          <w:i/>
          <w:sz w:val="18"/>
          <w:szCs w:val="18"/>
          <w:lang w:val="en-US"/>
        </w:rPr>
        <w:t>op.cit</w:t>
      </w:r>
      <w:r w:rsidRPr="00926BBB">
        <w:rPr>
          <w:rFonts w:ascii="Verdana" w:hAnsi="Verdana" w:cs="Times New Roman"/>
          <w:sz w:val="18"/>
          <w:szCs w:val="18"/>
          <w:lang w:val="en-US"/>
        </w:rPr>
        <w:t>…p. 22.</w:t>
      </w:r>
    </w:p>
  </w:footnote>
  <w:footnote w:id="129">
    <w:p w:rsidR="006E10EA" w:rsidRPr="00F2487D"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A tenor de lo establecido en el Artículo 1.8 del Reglamento sobre la Transparencia.</w:t>
      </w:r>
    </w:p>
  </w:footnote>
  <w:footnote w:id="130">
    <w:p w:rsidR="006E10EA" w:rsidRPr="00926BBB" w:rsidRDefault="006E10EA" w:rsidP="00656241">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El incumplimiento de las normas del debido proceso puede dar lugar a la inejecutabilidad del laudo, teniendo en cuenta el Artículo V, 1b) de la Convención sobre Reconocimiento y Ejecución de Sentencias Arbitrales de 1958 (Convención de Nueva York), el cual establece: b) </w:t>
      </w:r>
      <w:r w:rsidRPr="00926BBB">
        <w:rPr>
          <w:rFonts w:ascii="Verdana" w:hAnsi="Verdana" w:cs="Times New Roman"/>
          <w:i/>
          <w:sz w:val="18"/>
          <w:szCs w:val="18"/>
        </w:rPr>
        <w:t>Que la parte contra la cual se invoca la sentencia arbitral no ha sido debidamente notificada de la designación del árbitro o del procedimiento de arbitraje o no ha podido, por cualquier otra razón, hacer valer sus medios de defensa</w:t>
      </w:r>
      <w:r w:rsidRPr="00926BBB">
        <w:rPr>
          <w:rFonts w:ascii="Verdana" w:hAnsi="Verdana" w:cs="Times New Roman"/>
          <w:sz w:val="18"/>
          <w:szCs w:val="18"/>
        </w:rPr>
        <w:t xml:space="preserve">; estando en relación, a su vez, con lo establecido en el Artículo 18 de la Ley Modelo de la CNUDMI sobre Arbitraje Comercial Internacional, que reconoce: </w:t>
      </w:r>
      <w:r w:rsidRPr="00926BBB">
        <w:rPr>
          <w:rFonts w:ascii="Verdana" w:hAnsi="Verdana" w:cs="Times New Roman"/>
          <w:i/>
          <w:sz w:val="18"/>
          <w:szCs w:val="18"/>
        </w:rPr>
        <w:t>“Deberá tratarse a las partes con igualdad y darse a cada una de ellas plena oportunidad de hacer valer sus derechos”.</w:t>
      </w:r>
      <w:r w:rsidRPr="00926BBB">
        <w:rPr>
          <w:rFonts w:ascii="Verdana" w:hAnsi="Verdana" w:cs="Times New Roman"/>
          <w:sz w:val="18"/>
          <w:szCs w:val="18"/>
        </w:rPr>
        <w:t xml:space="preserve"> </w:t>
      </w:r>
    </w:p>
  </w:footnote>
  <w:footnote w:id="131">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Pr>
          <w:rFonts w:ascii="Verdana" w:hAnsi="Verdana" w:cs="Times New Roman"/>
          <w:sz w:val="18"/>
          <w:szCs w:val="18"/>
        </w:rPr>
        <w:t xml:space="preserve"> </w:t>
      </w:r>
      <w:r w:rsidRPr="003B1520">
        <w:rPr>
          <w:rFonts w:ascii="Verdana" w:hAnsi="Verdana" w:cs="Times New Roman"/>
          <w:sz w:val="18"/>
          <w:szCs w:val="18"/>
        </w:rPr>
        <w:t xml:space="preserve">GUAIA, C.I. “Facultades implícitas del tribunal arbitral en cuestiones éticas”, </w:t>
      </w:r>
      <w:r w:rsidRPr="003B1520">
        <w:rPr>
          <w:rFonts w:ascii="Verdana" w:hAnsi="Verdana" w:cs="Times New Roman"/>
          <w:i/>
          <w:sz w:val="18"/>
          <w:szCs w:val="18"/>
        </w:rPr>
        <w:t>Arbitrajes PUCP</w:t>
      </w:r>
      <w:r w:rsidRPr="003B1520">
        <w:rPr>
          <w:rFonts w:ascii="Verdana" w:hAnsi="Verdana" w:cs="Times New Roman"/>
          <w:sz w:val="18"/>
          <w:szCs w:val="18"/>
        </w:rPr>
        <w:t>, No. 6, 2016</w:t>
      </w:r>
      <w:r w:rsidRPr="00926BBB">
        <w:rPr>
          <w:rFonts w:ascii="Verdana" w:hAnsi="Verdana" w:cs="Times New Roman"/>
          <w:sz w:val="18"/>
          <w:szCs w:val="18"/>
        </w:rPr>
        <w:t>, p. 87.</w:t>
      </w:r>
    </w:p>
  </w:footnote>
  <w:footnote w:id="132">
    <w:p w:rsidR="006E10EA" w:rsidRPr="006F25A5"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En este sentido, el Artículo 7.6 del Reglamento sobre la Transparencia establece: “</w:t>
      </w:r>
      <w:r w:rsidRPr="00926BBB">
        <w:rPr>
          <w:rFonts w:ascii="Verdana" w:hAnsi="Verdana" w:cs="Times New Roman"/>
          <w:i/>
          <w:sz w:val="18"/>
          <w:szCs w:val="18"/>
        </w:rPr>
        <w:t>No se pondrá información a disposición del público con arreglo a los artículos 2 a 6 cuando esa información, si se pusiera a disposición del público, pudiera poner en peligro la integridad del proceso arbitral conforme a lo dispuesto en el párrafo 7</w:t>
      </w:r>
      <w:r w:rsidRPr="00926BBB">
        <w:rPr>
          <w:rFonts w:ascii="Verdana" w:hAnsi="Verdana" w:cs="Times New Roman"/>
          <w:sz w:val="18"/>
          <w:szCs w:val="18"/>
        </w:rPr>
        <w:t>”.</w:t>
      </w:r>
    </w:p>
  </w:footnote>
  <w:footnote w:id="133">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y como lo establece el Artículo 7.7 del Reglamento sobre la Transparencia: “</w:t>
      </w:r>
      <w:r w:rsidRPr="00926BBB">
        <w:rPr>
          <w:rFonts w:ascii="Verdana" w:hAnsi="Verdana" w:cs="Times New Roman"/>
          <w:i/>
          <w:sz w:val="18"/>
          <w:szCs w:val="18"/>
        </w:rPr>
        <w:t>El tribunal podrá, por iniciativa propia o a solicitud de una parte litigante, previa consulta con las partes litigantes cuando sea viable, adoptar las medidas adecuadas para impedir o demorar la publicación de información cuando tal publicación pueda poner en peligro la integridad del proceso arbitral porque pueda dificultar la reunión o presentación de pruebas, dar lugar a la intimidación de testigos, abogados de las partes litigantes o miembros del tribunal arbitral, o en circunstancias excepcionales comparables</w:t>
      </w:r>
      <w:r w:rsidRPr="00926BBB">
        <w:rPr>
          <w:rFonts w:ascii="Verdana" w:hAnsi="Verdana" w:cs="Times New Roman"/>
          <w:sz w:val="18"/>
          <w:szCs w:val="18"/>
        </w:rPr>
        <w:t xml:space="preserve">”. </w:t>
      </w:r>
    </w:p>
  </w:footnote>
  <w:footnote w:id="134">
    <w:p w:rsidR="006E10EA" w:rsidRPr="005D03F5" w:rsidRDefault="006E10EA">
      <w:pPr>
        <w:pStyle w:val="Textonotapie"/>
        <w:rPr>
          <w:rFonts w:ascii="Times New Roman" w:hAnsi="Times New Roman" w:cs="Times New Roman"/>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Tal como lo establece el Artículo 8 del Reglamento sobre la Transparencia: “</w:t>
      </w:r>
      <w:r w:rsidRPr="00926BBB">
        <w:rPr>
          <w:rFonts w:ascii="Verdana" w:hAnsi="Verdana" w:cs="Times New Roman"/>
          <w:i/>
          <w:sz w:val="18"/>
          <w:szCs w:val="18"/>
        </w:rPr>
        <w:t>El archivo de la información pública conforme al Reglamento sobre la Transparencia será el Secretario General de las Naciones Unidas o una institución nombrada por la CNUDMI</w:t>
      </w:r>
      <w:r w:rsidRPr="00926BBB">
        <w:rPr>
          <w:rFonts w:ascii="Verdana" w:hAnsi="Verdana" w:cs="Times New Roman"/>
          <w:sz w:val="18"/>
          <w:szCs w:val="18"/>
        </w:rPr>
        <w:t>”.</w:t>
      </w:r>
    </w:p>
  </w:footnote>
  <w:footnote w:id="135">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lang w:val="en-US"/>
        </w:rPr>
        <w:t xml:space="preserve"> Véase, al respecto, el caso </w:t>
      </w:r>
      <w:r w:rsidRPr="003700E8">
        <w:rPr>
          <w:rFonts w:ascii="Verdana" w:hAnsi="Verdana" w:cs="Times New Roman"/>
          <w:i/>
          <w:sz w:val="18"/>
          <w:szCs w:val="18"/>
          <w:lang w:val="en-US"/>
        </w:rPr>
        <w:t>BSG Resources Limited, BSG Resources (Guinea) Limited and BSG Resources (Guinea) SÀRL vs. Republic of Guinea</w:t>
      </w:r>
      <w:r w:rsidRPr="003700E8">
        <w:rPr>
          <w:rFonts w:ascii="Verdana" w:hAnsi="Verdana" w:cs="Times New Roman"/>
          <w:sz w:val="18"/>
          <w:szCs w:val="18"/>
          <w:lang w:val="en-US"/>
        </w:rPr>
        <w:t xml:space="preserve">, ICSID Case No. </w:t>
      </w:r>
      <w:r>
        <w:rPr>
          <w:rFonts w:ascii="Verdana" w:hAnsi="Verdana" w:cs="Times New Roman"/>
          <w:sz w:val="18"/>
          <w:szCs w:val="18"/>
        </w:rPr>
        <w:t>ARB/14/2,</w:t>
      </w:r>
      <w:r w:rsidRPr="003700E8">
        <w:rPr>
          <w:rFonts w:ascii="Verdana" w:hAnsi="Verdana" w:cs="Times New Roman"/>
          <w:sz w:val="18"/>
          <w:szCs w:val="18"/>
        </w:rPr>
        <w:t xml:space="preserve"> Procedural Order No.2, “Transparency”, páragrahp 17, 2015.</w:t>
      </w:r>
    </w:p>
  </w:footnote>
  <w:footnote w:id="136">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 el Registro de Transparencia de la CNUDMI, disponible en: </w:t>
      </w:r>
      <w:hyperlink r:id="rId17" w:history="1">
        <w:r w:rsidRPr="003700E8">
          <w:rPr>
            <w:rStyle w:val="Hipervnculo"/>
            <w:rFonts w:ascii="Verdana" w:hAnsi="Verdana" w:cs="Times New Roman"/>
            <w:sz w:val="18"/>
            <w:szCs w:val="18"/>
          </w:rPr>
          <w:t>http://www.uncitral.org/transparency-registry/registry/index.jspx</w:t>
        </w:r>
      </w:hyperlink>
      <w:r>
        <w:rPr>
          <w:rFonts w:ascii="Verdana" w:hAnsi="Verdana" w:cs="Times New Roman"/>
          <w:sz w:val="18"/>
          <w:szCs w:val="18"/>
        </w:rPr>
        <w:t>, consultado el 15/05</w:t>
      </w:r>
      <w:r w:rsidRPr="003700E8">
        <w:rPr>
          <w:rFonts w:ascii="Verdana" w:hAnsi="Verdana" w:cs="Times New Roman"/>
          <w:sz w:val="18"/>
          <w:szCs w:val="18"/>
        </w:rPr>
        <w:t xml:space="preserve">/2019. </w:t>
      </w:r>
    </w:p>
  </w:footnote>
  <w:footnote w:id="137">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El texto de la Convención sobre la Transparencia de la CN</w:t>
      </w:r>
      <w:r>
        <w:rPr>
          <w:rFonts w:ascii="Verdana" w:hAnsi="Verdana" w:cs="Times New Roman"/>
          <w:sz w:val="18"/>
          <w:szCs w:val="18"/>
        </w:rPr>
        <w:t>UDMI se encuentra disponible en:</w:t>
      </w:r>
      <w:r w:rsidRPr="003700E8">
        <w:rPr>
          <w:rFonts w:ascii="Verdana" w:hAnsi="Verdana" w:cs="Times New Roman"/>
          <w:sz w:val="18"/>
          <w:szCs w:val="18"/>
        </w:rPr>
        <w:t xml:space="preserve"> </w:t>
      </w:r>
      <w:hyperlink r:id="rId18" w:history="1">
        <w:r w:rsidRPr="003700E8">
          <w:rPr>
            <w:rStyle w:val="Hipervnculo"/>
            <w:rFonts w:ascii="Verdana" w:hAnsi="Verdana" w:cs="Times New Roman"/>
            <w:sz w:val="18"/>
            <w:szCs w:val="18"/>
          </w:rPr>
          <w:t>http://www.uncitral.org/pdf/spanish/texts/arbitration/transparency-convention/Transparency-Convention-s.pdf</w:t>
        </w:r>
      </w:hyperlink>
      <w:r>
        <w:rPr>
          <w:rFonts w:ascii="Verdana" w:hAnsi="Verdana" w:cs="Times New Roman"/>
          <w:sz w:val="18"/>
          <w:szCs w:val="18"/>
        </w:rPr>
        <w:t>, consultado el 15/05</w:t>
      </w:r>
      <w:r w:rsidRPr="003700E8">
        <w:rPr>
          <w:rFonts w:ascii="Verdana" w:hAnsi="Verdana" w:cs="Times New Roman"/>
          <w:sz w:val="18"/>
          <w:szCs w:val="18"/>
        </w:rPr>
        <w:t>/2019.</w:t>
      </w:r>
    </w:p>
  </w:footnote>
  <w:footnote w:id="138">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w:t>
      </w:r>
      <w:bookmarkStart w:id="67" w:name="_Hlk491981055"/>
      <w:r>
        <w:rPr>
          <w:rFonts w:ascii="Verdana" w:hAnsi="Verdana" w:cs="Times New Roman"/>
          <w:sz w:val="18"/>
          <w:szCs w:val="18"/>
        </w:rPr>
        <w:t>FERNÁNEZ ARROYO, D. P.</w:t>
      </w:r>
      <w:r w:rsidRPr="003700E8">
        <w:rPr>
          <w:rFonts w:ascii="Verdana" w:hAnsi="Verdana" w:cs="Times New Roman"/>
          <w:sz w:val="18"/>
          <w:szCs w:val="18"/>
        </w:rPr>
        <w:t xml:space="preserve"> La Transparencia como paradigma…</w:t>
      </w:r>
      <w:r w:rsidRPr="003700E8">
        <w:rPr>
          <w:rFonts w:ascii="Verdana" w:hAnsi="Verdana" w:cs="Times New Roman"/>
          <w:i/>
          <w:sz w:val="18"/>
          <w:szCs w:val="18"/>
        </w:rPr>
        <w:t>op.cit</w:t>
      </w:r>
      <w:r w:rsidRPr="003700E8">
        <w:rPr>
          <w:rFonts w:ascii="Verdana" w:hAnsi="Verdana" w:cs="Times New Roman"/>
          <w:sz w:val="18"/>
          <w:szCs w:val="18"/>
        </w:rPr>
        <w:t>… p. 269.</w:t>
      </w:r>
      <w:bookmarkEnd w:id="67"/>
    </w:p>
  </w:footnote>
  <w:footnote w:id="139">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Art. 2.1 de la Convención establece: “</w:t>
      </w:r>
      <w:r w:rsidRPr="003700E8">
        <w:rPr>
          <w:rFonts w:ascii="Verdana" w:hAnsi="Verdana" w:cs="Times New Roman"/>
          <w:i/>
          <w:sz w:val="18"/>
          <w:szCs w:val="18"/>
        </w:rPr>
        <w:t>El Reglamento de la CNUDMI sobre la Transparencia se aplicará a todo arbitraje entre inversionistas y Estados, entablado o no de conformidad con el Reglamento de Arbitraje de la CNUDMI, en el que el demandado sea una Parte que no haya formulado ninguna reserva pertinente en virtud del artículo 3.1 a) o 3.1 b) y el</w:t>
      </w:r>
      <w:r w:rsidRPr="00926BBB">
        <w:rPr>
          <w:rFonts w:ascii="Verdana" w:hAnsi="Verdana" w:cs="Times New Roman"/>
          <w:i/>
          <w:sz w:val="18"/>
          <w:szCs w:val="18"/>
        </w:rPr>
        <w:t xml:space="preserve"> </w:t>
      </w:r>
      <w:r w:rsidRPr="003700E8">
        <w:rPr>
          <w:rFonts w:ascii="Verdana" w:hAnsi="Verdana" w:cs="Times New Roman"/>
          <w:i/>
          <w:sz w:val="18"/>
          <w:szCs w:val="18"/>
        </w:rPr>
        <w:t>demandante sea de un Estado que sea una Parte que no haya formulado ninguna reserva pertinente en virtud del artículo 3.1 a)</w:t>
      </w:r>
      <w:r w:rsidRPr="003700E8">
        <w:rPr>
          <w:rFonts w:ascii="Verdana" w:hAnsi="Verdana" w:cs="Times New Roman"/>
          <w:sz w:val="18"/>
          <w:szCs w:val="18"/>
        </w:rPr>
        <w:t>”.</w:t>
      </w:r>
    </w:p>
  </w:footnote>
  <w:footnote w:id="140">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Al respecto, el Art. 2.2 de la Convención establece: “</w:t>
      </w:r>
      <w:r w:rsidRPr="003700E8">
        <w:rPr>
          <w:rFonts w:ascii="Verdana" w:hAnsi="Verdana" w:cs="Times New Roman"/>
          <w:i/>
          <w:sz w:val="18"/>
          <w:szCs w:val="18"/>
        </w:rPr>
        <w:t>Cuando el Reglamento de la CNUDMI sobre la Transparencia no sea aplicable en virtud del párrafo 1, dicho Reglamento se aplicará a todo arbitraje entre inversionistas y Estados, entablado o no de conformidad con el Reglamento de Arbitraje de la CNUDMI, en el que el demandado sea una Parte que no haya formulado ninguna reserva relacionada con ese arbitraje en virtud del artículo 3.1 y el demandado consienta en la aplicación del Reglamento de la CNUDMI sobre la Transparencia</w:t>
      </w:r>
      <w:r w:rsidRPr="003700E8">
        <w:rPr>
          <w:rFonts w:ascii="Verdana" w:hAnsi="Verdana" w:cs="Times New Roman"/>
          <w:sz w:val="18"/>
          <w:szCs w:val="18"/>
        </w:rPr>
        <w:t>”.</w:t>
      </w:r>
    </w:p>
  </w:footnote>
  <w:footnote w:id="141">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El Art. 3.1 a) de la Convención establece: “</w:t>
      </w:r>
      <w:r w:rsidRPr="003700E8">
        <w:rPr>
          <w:rFonts w:ascii="Verdana" w:hAnsi="Verdana" w:cs="Times New Roman"/>
          <w:i/>
          <w:sz w:val="18"/>
          <w:szCs w:val="18"/>
        </w:rPr>
        <w:t>No aplicará la presente Convención a un arbitraje entre inversionistas y un Estado en virtud de un determinado tratado de inversiones, identificado con su título y con el nombre de las partes contratantes en dicho tratado</w:t>
      </w:r>
      <w:r w:rsidRPr="003700E8">
        <w:rPr>
          <w:rFonts w:ascii="Verdana" w:hAnsi="Verdana" w:cs="Times New Roman"/>
          <w:sz w:val="18"/>
          <w:szCs w:val="18"/>
        </w:rPr>
        <w:t>”.</w:t>
      </w:r>
    </w:p>
  </w:footnote>
  <w:footnote w:id="142">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En este sentido el Art. 3.1 b) de la Convención reconoce que: “</w:t>
      </w:r>
      <w:r w:rsidRPr="003700E8">
        <w:rPr>
          <w:rFonts w:ascii="Verdana" w:hAnsi="Verdana" w:cs="Times New Roman"/>
          <w:i/>
          <w:sz w:val="18"/>
          <w:szCs w:val="18"/>
        </w:rPr>
        <w:t>Los párrafos 1 y 2 del artículo 2 no se aplicarán a los arbitrajes entre inversionistas y Estados que se tramiten utilizando un determinado conjunto de reglamentos o procedimientos arbitrales distintos del Reglamento de Arbitraje de la CNUDMI, y en los que sea parte demandada</w:t>
      </w:r>
      <w:r w:rsidRPr="003700E8">
        <w:rPr>
          <w:rFonts w:ascii="Verdana" w:hAnsi="Verdana" w:cs="Times New Roman"/>
          <w:sz w:val="18"/>
          <w:szCs w:val="18"/>
        </w:rPr>
        <w:t>”.</w:t>
      </w:r>
    </w:p>
  </w:footnote>
  <w:footnote w:id="143">
    <w:p w:rsidR="006E10EA" w:rsidRPr="003700E8" w:rsidRDefault="006E10EA">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Al respecto, el Art. 3.1 c) establece que: “</w:t>
      </w:r>
      <w:r w:rsidRPr="003700E8">
        <w:rPr>
          <w:rFonts w:ascii="Verdana" w:hAnsi="Verdana" w:cs="Times New Roman"/>
          <w:i/>
          <w:sz w:val="18"/>
          <w:szCs w:val="18"/>
        </w:rPr>
        <w:t>El artículo 2.2 no se aplicará a los arbitrajes entre inversionistas y Estados en los que sea parte demandada</w:t>
      </w:r>
      <w:r w:rsidRPr="003700E8">
        <w:rPr>
          <w:rFonts w:ascii="Verdana" w:hAnsi="Verdana" w:cs="Times New Roman"/>
          <w:sz w:val="18"/>
          <w:szCs w:val="18"/>
        </w:rPr>
        <w:t xml:space="preserve">”. </w:t>
      </w:r>
    </w:p>
  </w:footnote>
  <w:footnote w:id="144">
    <w:p w:rsidR="006E10EA" w:rsidRPr="003700E8" w:rsidRDefault="006E10EA" w:rsidP="00F15C6E">
      <w:pPr>
        <w:pStyle w:val="Textonotapie"/>
        <w:rPr>
          <w:rFonts w:ascii="Verdana" w:hAnsi="Verdana" w:cs="Times New Roman"/>
          <w:sz w:val="18"/>
          <w:szCs w:val="18"/>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Véase,</w:t>
      </w:r>
      <w:r w:rsidRPr="003700E8">
        <w:rPr>
          <w:rFonts w:ascii="Verdana" w:hAnsi="Verdana"/>
          <w:sz w:val="18"/>
          <w:szCs w:val="18"/>
        </w:rPr>
        <w:t xml:space="preserve"> </w:t>
      </w:r>
      <w:r w:rsidRPr="003700E8">
        <w:rPr>
          <w:rFonts w:ascii="Verdana" w:hAnsi="Verdana" w:cs="Times New Roman"/>
          <w:sz w:val="18"/>
          <w:szCs w:val="18"/>
        </w:rPr>
        <w:t xml:space="preserve">situación actual de la Convención de las Naciones Unidas sobre la Transparencia en los Arbitrajes entre Inversionistas y Estados en el Marco de un Tratado (Nueva York, 2014). Disponible en; </w:t>
      </w:r>
      <w:hyperlink r:id="rId19" w:history="1">
        <w:r w:rsidRPr="003700E8">
          <w:rPr>
            <w:rStyle w:val="Hipervnculo"/>
            <w:rFonts w:ascii="Verdana" w:hAnsi="Verdana" w:cs="Times New Roman"/>
            <w:sz w:val="18"/>
            <w:szCs w:val="18"/>
          </w:rPr>
          <w:t>http://www.uncitral.org/uncitral/es/uncitral_texts/arbitration/2014Transparency_Convention_status.html</w:t>
        </w:r>
      </w:hyperlink>
      <w:r>
        <w:rPr>
          <w:rFonts w:ascii="Verdana" w:hAnsi="Verdana" w:cs="Times New Roman"/>
          <w:sz w:val="18"/>
          <w:szCs w:val="18"/>
        </w:rPr>
        <w:t>, consultado el 15/05</w:t>
      </w:r>
      <w:r w:rsidRPr="003700E8">
        <w:rPr>
          <w:rFonts w:ascii="Verdana" w:hAnsi="Verdana" w:cs="Times New Roman"/>
          <w:sz w:val="18"/>
          <w:szCs w:val="18"/>
        </w:rPr>
        <w:t>/2019.</w:t>
      </w:r>
    </w:p>
  </w:footnote>
  <w:footnote w:id="145">
    <w:p w:rsidR="006E10EA" w:rsidRPr="008C7F1E" w:rsidRDefault="006E10EA" w:rsidP="00A6105C">
      <w:pPr>
        <w:pStyle w:val="Textonotapie"/>
        <w:rPr>
          <w:rFonts w:ascii="Times New Roman" w:hAnsi="Times New Roman" w:cs="Times New Roman"/>
        </w:rPr>
      </w:pPr>
      <w:r w:rsidRPr="003700E8">
        <w:rPr>
          <w:rStyle w:val="Refdenotaalpie"/>
          <w:rFonts w:ascii="Verdana" w:hAnsi="Verdana" w:cs="Times New Roman"/>
          <w:sz w:val="18"/>
          <w:szCs w:val="18"/>
        </w:rPr>
        <w:footnoteRef/>
      </w:r>
      <w:r w:rsidRPr="003700E8">
        <w:rPr>
          <w:rFonts w:ascii="Verdana" w:hAnsi="Verdana" w:cs="Times New Roman"/>
          <w:sz w:val="18"/>
          <w:szCs w:val="18"/>
        </w:rPr>
        <w:t xml:space="preserve"> Las enmiendas propuestas por el Estado australiano se encuentran disponibles en: </w:t>
      </w:r>
      <w:hyperlink r:id="rId20" w:anchor="_ftnref245" w:history="1">
        <w:r w:rsidRPr="003700E8">
          <w:rPr>
            <w:rStyle w:val="Hipervnculo"/>
            <w:rFonts w:ascii="Verdana" w:hAnsi="Verdana" w:cs="Times New Roman"/>
            <w:sz w:val="18"/>
            <w:szCs w:val="18"/>
          </w:rPr>
          <w:t>https://www.aph.gov.au/Parliamentary_Business/Bills_Legislation/bd/bd1617a/17bd120#_ftnref245</w:t>
        </w:r>
      </w:hyperlink>
      <w:r>
        <w:rPr>
          <w:rFonts w:ascii="Verdana" w:hAnsi="Verdana" w:cs="Times New Roman"/>
          <w:sz w:val="18"/>
          <w:szCs w:val="18"/>
        </w:rPr>
        <w:t>, consultado, 15/05</w:t>
      </w:r>
      <w:r w:rsidRPr="003700E8">
        <w:rPr>
          <w:rFonts w:ascii="Verdana" w:hAnsi="Verdana" w:cs="Times New Roman"/>
          <w:sz w:val="18"/>
          <w:szCs w:val="18"/>
        </w:rPr>
        <w:t>/2019.</w:t>
      </w:r>
      <w:r w:rsidRPr="008C7F1E">
        <w:rPr>
          <w:rFonts w:ascii="Times New Roman" w:hAnsi="Times New Roman" w:cs="Times New Roman"/>
        </w:rPr>
        <w:t xml:space="preserve"> </w:t>
      </w:r>
    </w:p>
  </w:footnote>
  <w:footnote w:id="146">
    <w:p w:rsidR="006E10EA" w:rsidRPr="00926BBB" w:rsidRDefault="006E10EA">
      <w:pPr>
        <w:pStyle w:val="Textonotapie"/>
        <w:rPr>
          <w:rFonts w:ascii="Verdana" w:hAnsi="Verdana" w:cs="Times New Roman"/>
          <w:sz w:val="18"/>
          <w:szCs w:val="18"/>
        </w:rPr>
      </w:pPr>
      <w:r w:rsidRPr="00926BBB">
        <w:rPr>
          <w:rStyle w:val="Refdenotaalpie"/>
          <w:rFonts w:ascii="Verdana" w:hAnsi="Verdana" w:cs="Times New Roman"/>
          <w:sz w:val="18"/>
          <w:szCs w:val="18"/>
        </w:rPr>
        <w:footnoteRef/>
      </w:r>
      <w:r w:rsidRPr="00926BBB">
        <w:rPr>
          <w:rFonts w:ascii="Verdana" w:hAnsi="Verdana" w:cs="Times New Roman"/>
          <w:sz w:val="18"/>
          <w:szCs w:val="18"/>
        </w:rPr>
        <w:t xml:space="preserve"> FERNÁNEZ ARROYO, D. P.: La Transparencia como paradigma…</w:t>
      </w:r>
      <w:r w:rsidRPr="00926BBB">
        <w:rPr>
          <w:rFonts w:ascii="Verdana" w:hAnsi="Verdana" w:cs="Times New Roman"/>
          <w:i/>
          <w:sz w:val="18"/>
          <w:szCs w:val="18"/>
        </w:rPr>
        <w:t>op.cit</w:t>
      </w:r>
      <w:r w:rsidRPr="00926BBB">
        <w:rPr>
          <w:rFonts w:ascii="Verdana" w:hAnsi="Verdana" w:cs="Times New Roman"/>
          <w:sz w:val="18"/>
          <w:szCs w:val="18"/>
        </w:rPr>
        <w:t>… p. 269.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FF2"/>
    <w:multiLevelType w:val="hybridMultilevel"/>
    <w:tmpl w:val="8976E8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A37395"/>
    <w:multiLevelType w:val="hybridMultilevel"/>
    <w:tmpl w:val="98F8DFE6"/>
    <w:lvl w:ilvl="0" w:tplc="37B6A9E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18683B"/>
    <w:multiLevelType w:val="hybridMultilevel"/>
    <w:tmpl w:val="14182248"/>
    <w:lvl w:ilvl="0" w:tplc="594E5A98">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23E6408"/>
    <w:multiLevelType w:val="multilevel"/>
    <w:tmpl w:val="BAC25554"/>
    <w:lvl w:ilvl="0">
      <w:start w:val="1"/>
      <w:numFmt w:val="upperRoman"/>
      <w:lvlText w:val="%1."/>
      <w:lvlJc w:val="left"/>
      <w:pPr>
        <w:ind w:left="1080" w:hanging="72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C3363F"/>
    <w:multiLevelType w:val="hybridMultilevel"/>
    <w:tmpl w:val="5F3ACB5E"/>
    <w:lvl w:ilvl="0" w:tplc="6092169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EB4408"/>
    <w:multiLevelType w:val="hybridMultilevel"/>
    <w:tmpl w:val="93A2561A"/>
    <w:lvl w:ilvl="0" w:tplc="BF9C763E">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7D63389"/>
    <w:multiLevelType w:val="hybridMultilevel"/>
    <w:tmpl w:val="3CB42A1C"/>
    <w:lvl w:ilvl="0" w:tplc="01A8FA48">
      <w:start w:val="1"/>
      <w:numFmt w:val="lowerLetter"/>
      <w:lvlText w:val="%1)"/>
      <w:lvlJc w:val="left"/>
      <w:pPr>
        <w:ind w:left="644" w:hanging="360"/>
      </w:pPr>
      <w:rPr>
        <w:rFonts w:ascii="Times New Roman" w:eastAsia="Calibri"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5DE720F3"/>
    <w:multiLevelType w:val="hybridMultilevel"/>
    <w:tmpl w:val="8B98F2D2"/>
    <w:lvl w:ilvl="0" w:tplc="CEF2972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A660D28"/>
    <w:multiLevelType w:val="multilevel"/>
    <w:tmpl w:val="B78629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A8119B2"/>
    <w:multiLevelType w:val="hybridMultilevel"/>
    <w:tmpl w:val="47E6B6DA"/>
    <w:lvl w:ilvl="0" w:tplc="8794A50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7F0D71"/>
    <w:multiLevelType w:val="hybridMultilevel"/>
    <w:tmpl w:val="CAD4C0DA"/>
    <w:lvl w:ilvl="0" w:tplc="180E35F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1"/>
  </w:num>
  <w:num w:numId="6">
    <w:abstractNumId w:val="5"/>
  </w:num>
  <w:num w:numId="7">
    <w:abstractNumId w:val="9"/>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49"/>
    <w:rsid w:val="000004EF"/>
    <w:rsid w:val="0000064A"/>
    <w:rsid w:val="0000087D"/>
    <w:rsid w:val="000008C4"/>
    <w:rsid w:val="000009C9"/>
    <w:rsid w:val="00000DE5"/>
    <w:rsid w:val="000010A6"/>
    <w:rsid w:val="00001219"/>
    <w:rsid w:val="000012B8"/>
    <w:rsid w:val="000015C6"/>
    <w:rsid w:val="000015E0"/>
    <w:rsid w:val="0000162B"/>
    <w:rsid w:val="000016EF"/>
    <w:rsid w:val="00001811"/>
    <w:rsid w:val="00001819"/>
    <w:rsid w:val="000018C2"/>
    <w:rsid w:val="00001956"/>
    <w:rsid w:val="00001A99"/>
    <w:rsid w:val="00001ACA"/>
    <w:rsid w:val="00001CD8"/>
    <w:rsid w:val="00001E6C"/>
    <w:rsid w:val="00001EC0"/>
    <w:rsid w:val="00001F6A"/>
    <w:rsid w:val="00001FD5"/>
    <w:rsid w:val="00002000"/>
    <w:rsid w:val="00002272"/>
    <w:rsid w:val="000022A4"/>
    <w:rsid w:val="000024D0"/>
    <w:rsid w:val="00002924"/>
    <w:rsid w:val="00002CC8"/>
    <w:rsid w:val="00002DB5"/>
    <w:rsid w:val="00002DBB"/>
    <w:rsid w:val="00002DE2"/>
    <w:rsid w:val="0000309C"/>
    <w:rsid w:val="00003195"/>
    <w:rsid w:val="0000333C"/>
    <w:rsid w:val="0000344B"/>
    <w:rsid w:val="00003711"/>
    <w:rsid w:val="000037B8"/>
    <w:rsid w:val="0000380C"/>
    <w:rsid w:val="000038A6"/>
    <w:rsid w:val="0000392B"/>
    <w:rsid w:val="00003C1B"/>
    <w:rsid w:val="00003CEA"/>
    <w:rsid w:val="00003DC1"/>
    <w:rsid w:val="00003E4F"/>
    <w:rsid w:val="00003E6A"/>
    <w:rsid w:val="000040B7"/>
    <w:rsid w:val="00004129"/>
    <w:rsid w:val="0000426C"/>
    <w:rsid w:val="000042A3"/>
    <w:rsid w:val="00004323"/>
    <w:rsid w:val="00004334"/>
    <w:rsid w:val="0000451A"/>
    <w:rsid w:val="000047CF"/>
    <w:rsid w:val="00004A57"/>
    <w:rsid w:val="00004A73"/>
    <w:rsid w:val="00004AB3"/>
    <w:rsid w:val="00004B2E"/>
    <w:rsid w:val="00004D17"/>
    <w:rsid w:val="00004DBF"/>
    <w:rsid w:val="0000505F"/>
    <w:rsid w:val="000056AE"/>
    <w:rsid w:val="000056D1"/>
    <w:rsid w:val="000059D4"/>
    <w:rsid w:val="00005A3E"/>
    <w:rsid w:val="00005C18"/>
    <w:rsid w:val="00005EFB"/>
    <w:rsid w:val="00005FF5"/>
    <w:rsid w:val="0000639E"/>
    <w:rsid w:val="00006516"/>
    <w:rsid w:val="00006572"/>
    <w:rsid w:val="00006628"/>
    <w:rsid w:val="0000663D"/>
    <w:rsid w:val="00006644"/>
    <w:rsid w:val="000066D8"/>
    <w:rsid w:val="00006780"/>
    <w:rsid w:val="000068D2"/>
    <w:rsid w:val="00006A79"/>
    <w:rsid w:val="00006EF7"/>
    <w:rsid w:val="00007136"/>
    <w:rsid w:val="00007263"/>
    <w:rsid w:val="00007275"/>
    <w:rsid w:val="000073B4"/>
    <w:rsid w:val="00007458"/>
    <w:rsid w:val="000074A3"/>
    <w:rsid w:val="000074F0"/>
    <w:rsid w:val="0000758E"/>
    <w:rsid w:val="000076BC"/>
    <w:rsid w:val="000076F6"/>
    <w:rsid w:val="0000785A"/>
    <w:rsid w:val="000079A2"/>
    <w:rsid w:val="00007ABA"/>
    <w:rsid w:val="00007B0D"/>
    <w:rsid w:val="00007B49"/>
    <w:rsid w:val="00007C9B"/>
    <w:rsid w:val="0001014F"/>
    <w:rsid w:val="000101B6"/>
    <w:rsid w:val="00010396"/>
    <w:rsid w:val="0001040B"/>
    <w:rsid w:val="0001046F"/>
    <w:rsid w:val="00010531"/>
    <w:rsid w:val="00010655"/>
    <w:rsid w:val="000106E3"/>
    <w:rsid w:val="000108F4"/>
    <w:rsid w:val="00010B3C"/>
    <w:rsid w:val="00010F50"/>
    <w:rsid w:val="000112A5"/>
    <w:rsid w:val="0001178F"/>
    <w:rsid w:val="00011867"/>
    <w:rsid w:val="0001191F"/>
    <w:rsid w:val="00011A97"/>
    <w:rsid w:val="00011AB7"/>
    <w:rsid w:val="00011B16"/>
    <w:rsid w:val="00011C6F"/>
    <w:rsid w:val="00011D8B"/>
    <w:rsid w:val="00011DB6"/>
    <w:rsid w:val="00011EBB"/>
    <w:rsid w:val="00011F6E"/>
    <w:rsid w:val="0001210A"/>
    <w:rsid w:val="0001215B"/>
    <w:rsid w:val="000122AF"/>
    <w:rsid w:val="000122C0"/>
    <w:rsid w:val="0001284A"/>
    <w:rsid w:val="00012926"/>
    <w:rsid w:val="000129CB"/>
    <w:rsid w:val="00012BF1"/>
    <w:rsid w:val="00012CA4"/>
    <w:rsid w:val="00012E58"/>
    <w:rsid w:val="00012F12"/>
    <w:rsid w:val="00012F60"/>
    <w:rsid w:val="0001307E"/>
    <w:rsid w:val="00013268"/>
    <w:rsid w:val="000132FC"/>
    <w:rsid w:val="000134FD"/>
    <w:rsid w:val="000137F5"/>
    <w:rsid w:val="00013B64"/>
    <w:rsid w:val="00013D2A"/>
    <w:rsid w:val="00013DC1"/>
    <w:rsid w:val="00013F79"/>
    <w:rsid w:val="00014145"/>
    <w:rsid w:val="00014262"/>
    <w:rsid w:val="000142C3"/>
    <w:rsid w:val="000143EF"/>
    <w:rsid w:val="0001458E"/>
    <w:rsid w:val="00014629"/>
    <w:rsid w:val="00014829"/>
    <w:rsid w:val="00014927"/>
    <w:rsid w:val="0001499B"/>
    <w:rsid w:val="000149E7"/>
    <w:rsid w:val="00014AC5"/>
    <w:rsid w:val="00014AD5"/>
    <w:rsid w:val="00014B11"/>
    <w:rsid w:val="00014B8C"/>
    <w:rsid w:val="00014D1B"/>
    <w:rsid w:val="00014E27"/>
    <w:rsid w:val="00014E81"/>
    <w:rsid w:val="0001506E"/>
    <w:rsid w:val="00015110"/>
    <w:rsid w:val="00015660"/>
    <w:rsid w:val="0001595A"/>
    <w:rsid w:val="000159F5"/>
    <w:rsid w:val="000159F6"/>
    <w:rsid w:val="00015A29"/>
    <w:rsid w:val="00015D81"/>
    <w:rsid w:val="00015EB7"/>
    <w:rsid w:val="0001605F"/>
    <w:rsid w:val="000161F7"/>
    <w:rsid w:val="0001622D"/>
    <w:rsid w:val="00016236"/>
    <w:rsid w:val="00016261"/>
    <w:rsid w:val="00016925"/>
    <w:rsid w:val="0001697F"/>
    <w:rsid w:val="0001699E"/>
    <w:rsid w:val="000169BB"/>
    <w:rsid w:val="00016B14"/>
    <w:rsid w:val="00016B57"/>
    <w:rsid w:val="0001703D"/>
    <w:rsid w:val="0001705B"/>
    <w:rsid w:val="0001737F"/>
    <w:rsid w:val="00017467"/>
    <w:rsid w:val="00017511"/>
    <w:rsid w:val="0001758B"/>
    <w:rsid w:val="00017608"/>
    <w:rsid w:val="0001761D"/>
    <w:rsid w:val="000177A0"/>
    <w:rsid w:val="00017AAD"/>
    <w:rsid w:val="00017F44"/>
    <w:rsid w:val="000200C8"/>
    <w:rsid w:val="000201EF"/>
    <w:rsid w:val="00020329"/>
    <w:rsid w:val="00020343"/>
    <w:rsid w:val="0002036F"/>
    <w:rsid w:val="000203AF"/>
    <w:rsid w:val="00020520"/>
    <w:rsid w:val="0002060B"/>
    <w:rsid w:val="00020763"/>
    <w:rsid w:val="0002076D"/>
    <w:rsid w:val="000207CC"/>
    <w:rsid w:val="0002088F"/>
    <w:rsid w:val="00020B3B"/>
    <w:rsid w:val="00020DDB"/>
    <w:rsid w:val="0002118E"/>
    <w:rsid w:val="0002170B"/>
    <w:rsid w:val="00021748"/>
    <w:rsid w:val="00021828"/>
    <w:rsid w:val="0002183D"/>
    <w:rsid w:val="000219BE"/>
    <w:rsid w:val="00021A66"/>
    <w:rsid w:val="00021C0C"/>
    <w:rsid w:val="00021C70"/>
    <w:rsid w:val="00021D6D"/>
    <w:rsid w:val="00021E3C"/>
    <w:rsid w:val="00021F92"/>
    <w:rsid w:val="00021FB0"/>
    <w:rsid w:val="00022088"/>
    <w:rsid w:val="00022131"/>
    <w:rsid w:val="00022303"/>
    <w:rsid w:val="00022460"/>
    <w:rsid w:val="00022486"/>
    <w:rsid w:val="000224BC"/>
    <w:rsid w:val="00022638"/>
    <w:rsid w:val="0002271A"/>
    <w:rsid w:val="000228AD"/>
    <w:rsid w:val="000228F3"/>
    <w:rsid w:val="00022B18"/>
    <w:rsid w:val="00022BA7"/>
    <w:rsid w:val="00022CDE"/>
    <w:rsid w:val="00022F53"/>
    <w:rsid w:val="0002310B"/>
    <w:rsid w:val="000233CB"/>
    <w:rsid w:val="000235E3"/>
    <w:rsid w:val="00023606"/>
    <w:rsid w:val="00023669"/>
    <w:rsid w:val="00023AE2"/>
    <w:rsid w:val="00023AFE"/>
    <w:rsid w:val="00023DE4"/>
    <w:rsid w:val="00023E8A"/>
    <w:rsid w:val="00024143"/>
    <w:rsid w:val="0002423F"/>
    <w:rsid w:val="0002426D"/>
    <w:rsid w:val="00024377"/>
    <w:rsid w:val="000244A2"/>
    <w:rsid w:val="000247A9"/>
    <w:rsid w:val="00024801"/>
    <w:rsid w:val="0002485B"/>
    <w:rsid w:val="000248DD"/>
    <w:rsid w:val="00024952"/>
    <w:rsid w:val="00024A2E"/>
    <w:rsid w:val="00024B04"/>
    <w:rsid w:val="00024DCC"/>
    <w:rsid w:val="000251CA"/>
    <w:rsid w:val="000252AC"/>
    <w:rsid w:val="000254E2"/>
    <w:rsid w:val="000256C6"/>
    <w:rsid w:val="00025711"/>
    <w:rsid w:val="00025CF7"/>
    <w:rsid w:val="0002604C"/>
    <w:rsid w:val="000260A9"/>
    <w:rsid w:val="00026234"/>
    <w:rsid w:val="0002626A"/>
    <w:rsid w:val="00026393"/>
    <w:rsid w:val="000266E6"/>
    <w:rsid w:val="00026A03"/>
    <w:rsid w:val="00026AF6"/>
    <w:rsid w:val="00026C8C"/>
    <w:rsid w:val="00026D1C"/>
    <w:rsid w:val="00026F9B"/>
    <w:rsid w:val="00027030"/>
    <w:rsid w:val="00027723"/>
    <w:rsid w:val="000278C8"/>
    <w:rsid w:val="000278D3"/>
    <w:rsid w:val="000279F0"/>
    <w:rsid w:val="00030058"/>
    <w:rsid w:val="0003017E"/>
    <w:rsid w:val="00030421"/>
    <w:rsid w:val="000304E9"/>
    <w:rsid w:val="0003079C"/>
    <w:rsid w:val="000307D7"/>
    <w:rsid w:val="000308FA"/>
    <w:rsid w:val="00030B62"/>
    <w:rsid w:val="00030C90"/>
    <w:rsid w:val="00030EAF"/>
    <w:rsid w:val="00031033"/>
    <w:rsid w:val="000310F2"/>
    <w:rsid w:val="00031381"/>
    <w:rsid w:val="00031438"/>
    <w:rsid w:val="00031453"/>
    <w:rsid w:val="00031564"/>
    <w:rsid w:val="00031574"/>
    <w:rsid w:val="000317DE"/>
    <w:rsid w:val="0003196A"/>
    <w:rsid w:val="00031C21"/>
    <w:rsid w:val="00031E22"/>
    <w:rsid w:val="00031EAA"/>
    <w:rsid w:val="00032042"/>
    <w:rsid w:val="000320B9"/>
    <w:rsid w:val="000320C6"/>
    <w:rsid w:val="000322C1"/>
    <w:rsid w:val="00032734"/>
    <w:rsid w:val="00032818"/>
    <w:rsid w:val="000328DF"/>
    <w:rsid w:val="00032A17"/>
    <w:rsid w:val="00032B99"/>
    <w:rsid w:val="00032D33"/>
    <w:rsid w:val="00032EAF"/>
    <w:rsid w:val="00032F5D"/>
    <w:rsid w:val="000330BB"/>
    <w:rsid w:val="00033199"/>
    <w:rsid w:val="000331CF"/>
    <w:rsid w:val="0003345E"/>
    <w:rsid w:val="000338B8"/>
    <w:rsid w:val="000338D0"/>
    <w:rsid w:val="00033D65"/>
    <w:rsid w:val="00034035"/>
    <w:rsid w:val="000340AD"/>
    <w:rsid w:val="0003418F"/>
    <w:rsid w:val="00034568"/>
    <w:rsid w:val="00034636"/>
    <w:rsid w:val="0003468D"/>
    <w:rsid w:val="000347CE"/>
    <w:rsid w:val="000347DC"/>
    <w:rsid w:val="00034B09"/>
    <w:rsid w:val="00034D13"/>
    <w:rsid w:val="00034DB8"/>
    <w:rsid w:val="00035101"/>
    <w:rsid w:val="00035122"/>
    <w:rsid w:val="000353FA"/>
    <w:rsid w:val="0003557F"/>
    <w:rsid w:val="000357D6"/>
    <w:rsid w:val="0003580D"/>
    <w:rsid w:val="0003589C"/>
    <w:rsid w:val="00035A0A"/>
    <w:rsid w:val="00035C94"/>
    <w:rsid w:val="00035D1F"/>
    <w:rsid w:val="000361EE"/>
    <w:rsid w:val="0003625F"/>
    <w:rsid w:val="00036320"/>
    <w:rsid w:val="00036573"/>
    <w:rsid w:val="000367B7"/>
    <w:rsid w:val="000367E8"/>
    <w:rsid w:val="000368A6"/>
    <w:rsid w:val="00036A24"/>
    <w:rsid w:val="00036E18"/>
    <w:rsid w:val="00036E2E"/>
    <w:rsid w:val="000373EF"/>
    <w:rsid w:val="00037429"/>
    <w:rsid w:val="0003751D"/>
    <w:rsid w:val="0003763F"/>
    <w:rsid w:val="000377BD"/>
    <w:rsid w:val="000378EC"/>
    <w:rsid w:val="00037947"/>
    <w:rsid w:val="00037D41"/>
    <w:rsid w:val="000400AA"/>
    <w:rsid w:val="0004011E"/>
    <w:rsid w:val="000401F7"/>
    <w:rsid w:val="00040349"/>
    <w:rsid w:val="000406FF"/>
    <w:rsid w:val="000407D7"/>
    <w:rsid w:val="000407F1"/>
    <w:rsid w:val="0004095C"/>
    <w:rsid w:val="00040A95"/>
    <w:rsid w:val="00040C8D"/>
    <w:rsid w:val="00040CDE"/>
    <w:rsid w:val="00040F1A"/>
    <w:rsid w:val="00040F85"/>
    <w:rsid w:val="00041009"/>
    <w:rsid w:val="0004102C"/>
    <w:rsid w:val="00041240"/>
    <w:rsid w:val="00041647"/>
    <w:rsid w:val="000418BC"/>
    <w:rsid w:val="0004199F"/>
    <w:rsid w:val="00041A2E"/>
    <w:rsid w:val="00041BEF"/>
    <w:rsid w:val="00041D26"/>
    <w:rsid w:val="0004204A"/>
    <w:rsid w:val="0004210B"/>
    <w:rsid w:val="000421C1"/>
    <w:rsid w:val="00042251"/>
    <w:rsid w:val="0004258B"/>
    <w:rsid w:val="000426FC"/>
    <w:rsid w:val="0004295C"/>
    <w:rsid w:val="000429F0"/>
    <w:rsid w:val="00042A57"/>
    <w:rsid w:val="00042A6B"/>
    <w:rsid w:val="00042A6D"/>
    <w:rsid w:val="00042C20"/>
    <w:rsid w:val="00042E25"/>
    <w:rsid w:val="00043088"/>
    <w:rsid w:val="0004311B"/>
    <w:rsid w:val="000434C6"/>
    <w:rsid w:val="000435E5"/>
    <w:rsid w:val="000437CF"/>
    <w:rsid w:val="000437E7"/>
    <w:rsid w:val="000438B2"/>
    <w:rsid w:val="00043A99"/>
    <w:rsid w:val="00043E0E"/>
    <w:rsid w:val="00043F8A"/>
    <w:rsid w:val="000444B7"/>
    <w:rsid w:val="00044539"/>
    <w:rsid w:val="000446CF"/>
    <w:rsid w:val="00044906"/>
    <w:rsid w:val="000449E0"/>
    <w:rsid w:val="00044B95"/>
    <w:rsid w:val="00044D45"/>
    <w:rsid w:val="00044EF5"/>
    <w:rsid w:val="00045330"/>
    <w:rsid w:val="00045477"/>
    <w:rsid w:val="000458D8"/>
    <w:rsid w:val="00045C59"/>
    <w:rsid w:val="00045CE3"/>
    <w:rsid w:val="00045CE4"/>
    <w:rsid w:val="00045D42"/>
    <w:rsid w:val="00045EC2"/>
    <w:rsid w:val="00046003"/>
    <w:rsid w:val="0004627D"/>
    <w:rsid w:val="00046489"/>
    <w:rsid w:val="00046B35"/>
    <w:rsid w:val="00046BAE"/>
    <w:rsid w:val="00046DAB"/>
    <w:rsid w:val="000470BD"/>
    <w:rsid w:val="000472B2"/>
    <w:rsid w:val="000474E4"/>
    <w:rsid w:val="0004781E"/>
    <w:rsid w:val="00047B41"/>
    <w:rsid w:val="00047C1D"/>
    <w:rsid w:val="00047F56"/>
    <w:rsid w:val="0005055E"/>
    <w:rsid w:val="00050596"/>
    <w:rsid w:val="000505CD"/>
    <w:rsid w:val="000507CC"/>
    <w:rsid w:val="000508AA"/>
    <w:rsid w:val="00050C8E"/>
    <w:rsid w:val="00050E64"/>
    <w:rsid w:val="00050F25"/>
    <w:rsid w:val="0005105A"/>
    <w:rsid w:val="00051123"/>
    <w:rsid w:val="00051424"/>
    <w:rsid w:val="0005152B"/>
    <w:rsid w:val="00051557"/>
    <w:rsid w:val="0005176E"/>
    <w:rsid w:val="00051779"/>
    <w:rsid w:val="00051903"/>
    <w:rsid w:val="0005199E"/>
    <w:rsid w:val="000519AD"/>
    <w:rsid w:val="00051A4C"/>
    <w:rsid w:val="00051B98"/>
    <w:rsid w:val="00051C00"/>
    <w:rsid w:val="00051CB2"/>
    <w:rsid w:val="000521B4"/>
    <w:rsid w:val="00052356"/>
    <w:rsid w:val="0005259C"/>
    <w:rsid w:val="000525F0"/>
    <w:rsid w:val="0005262B"/>
    <w:rsid w:val="000526EB"/>
    <w:rsid w:val="00052779"/>
    <w:rsid w:val="0005287A"/>
    <w:rsid w:val="00052A67"/>
    <w:rsid w:val="00052B80"/>
    <w:rsid w:val="00052BC4"/>
    <w:rsid w:val="00052C60"/>
    <w:rsid w:val="0005314A"/>
    <w:rsid w:val="00053443"/>
    <w:rsid w:val="0005345B"/>
    <w:rsid w:val="0005348F"/>
    <w:rsid w:val="00053545"/>
    <w:rsid w:val="00053552"/>
    <w:rsid w:val="00053556"/>
    <w:rsid w:val="00053748"/>
    <w:rsid w:val="00053F48"/>
    <w:rsid w:val="00053F6F"/>
    <w:rsid w:val="00053FB3"/>
    <w:rsid w:val="0005403D"/>
    <w:rsid w:val="000540F5"/>
    <w:rsid w:val="000540F8"/>
    <w:rsid w:val="000541A2"/>
    <w:rsid w:val="000541E1"/>
    <w:rsid w:val="000543D5"/>
    <w:rsid w:val="00054543"/>
    <w:rsid w:val="0005483A"/>
    <w:rsid w:val="00054940"/>
    <w:rsid w:val="00054CFA"/>
    <w:rsid w:val="00054D10"/>
    <w:rsid w:val="00054E64"/>
    <w:rsid w:val="00054F3A"/>
    <w:rsid w:val="00055028"/>
    <w:rsid w:val="00055127"/>
    <w:rsid w:val="00055168"/>
    <w:rsid w:val="0005524E"/>
    <w:rsid w:val="000552D9"/>
    <w:rsid w:val="000552E4"/>
    <w:rsid w:val="00055319"/>
    <w:rsid w:val="000553DB"/>
    <w:rsid w:val="000553DE"/>
    <w:rsid w:val="000553F9"/>
    <w:rsid w:val="000555C2"/>
    <w:rsid w:val="000558A6"/>
    <w:rsid w:val="000559DB"/>
    <w:rsid w:val="00055B33"/>
    <w:rsid w:val="00055B4F"/>
    <w:rsid w:val="00055DEE"/>
    <w:rsid w:val="00055E4D"/>
    <w:rsid w:val="0005601B"/>
    <w:rsid w:val="00056114"/>
    <w:rsid w:val="00056371"/>
    <w:rsid w:val="00056493"/>
    <w:rsid w:val="00056627"/>
    <w:rsid w:val="0005663C"/>
    <w:rsid w:val="000568ED"/>
    <w:rsid w:val="000569AC"/>
    <w:rsid w:val="00056E8B"/>
    <w:rsid w:val="00056EAA"/>
    <w:rsid w:val="0005708F"/>
    <w:rsid w:val="000570EE"/>
    <w:rsid w:val="00057157"/>
    <w:rsid w:val="000575FA"/>
    <w:rsid w:val="00057720"/>
    <w:rsid w:val="00057962"/>
    <w:rsid w:val="000579EC"/>
    <w:rsid w:val="00057E30"/>
    <w:rsid w:val="0006008C"/>
    <w:rsid w:val="00060324"/>
    <w:rsid w:val="000603C0"/>
    <w:rsid w:val="00060497"/>
    <w:rsid w:val="0006060B"/>
    <w:rsid w:val="0006083E"/>
    <w:rsid w:val="00060871"/>
    <w:rsid w:val="00060887"/>
    <w:rsid w:val="000608C6"/>
    <w:rsid w:val="00060908"/>
    <w:rsid w:val="0006091D"/>
    <w:rsid w:val="00060A1A"/>
    <w:rsid w:val="00060CCE"/>
    <w:rsid w:val="00060D93"/>
    <w:rsid w:val="00060ED3"/>
    <w:rsid w:val="00060FFD"/>
    <w:rsid w:val="0006102D"/>
    <w:rsid w:val="000610D3"/>
    <w:rsid w:val="00061162"/>
    <w:rsid w:val="00061181"/>
    <w:rsid w:val="0006119D"/>
    <w:rsid w:val="00061331"/>
    <w:rsid w:val="00061664"/>
    <w:rsid w:val="00061837"/>
    <w:rsid w:val="00061A39"/>
    <w:rsid w:val="00061DF7"/>
    <w:rsid w:val="00061E86"/>
    <w:rsid w:val="0006201A"/>
    <w:rsid w:val="00062348"/>
    <w:rsid w:val="000625F4"/>
    <w:rsid w:val="000626DB"/>
    <w:rsid w:val="0006270F"/>
    <w:rsid w:val="00062799"/>
    <w:rsid w:val="0006283D"/>
    <w:rsid w:val="00062AE3"/>
    <w:rsid w:val="00062B68"/>
    <w:rsid w:val="00063022"/>
    <w:rsid w:val="00063582"/>
    <w:rsid w:val="000635D3"/>
    <w:rsid w:val="0006363D"/>
    <w:rsid w:val="0006397C"/>
    <w:rsid w:val="00063AB0"/>
    <w:rsid w:val="00063CD6"/>
    <w:rsid w:val="00063D11"/>
    <w:rsid w:val="00063FBF"/>
    <w:rsid w:val="000642A2"/>
    <w:rsid w:val="00064725"/>
    <w:rsid w:val="00064853"/>
    <w:rsid w:val="000649A8"/>
    <w:rsid w:val="00064AB0"/>
    <w:rsid w:val="00064C5F"/>
    <w:rsid w:val="00064CB7"/>
    <w:rsid w:val="00064D17"/>
    <w:rsid w:val="00064FBE"/>
    <w:rsid w:val="000651EC"/>
    <w:rsid w:val="000652F8"/>
    <w:rsid w:val="000654CD"/>
    <w:rsid w:val="000656CF"/>
    <w:rsid w:val="00065750"/>
    <w:rsid w:val="00065825"/>
    <w:rsid w:val="00065987"/>
    <w:rsid w:val="00065AAD"/>
    <w:rsid w:val="00065B04"/>
    <w:rsid w:val="00065BDC"/>
    <w:rsid w:val="00065C3A"/>
    <w:rsid w:val="00065E04"/>
    <w:rsid w:val="00065F00"/>
    <w:rsid w:val="0006607B"/>
    <w:rsid w:val="00066084"/>
    <w:rsid w:val="0006608D"/>
    <w:rsid w:val="000660E3"/>
    <w:rsid w:val="00066207"/>
    <w:rsid w:val="00066289"/>
    <w:rsid w:val="0006635D"/>
    <w:rsid w:val="0006644D"/>
    <w:rsid w:val="000665C6"/>
    <w:rsid w:val="00066794"/>
    <w:rsid w:val="000668B3"/>
    <w:rsid w:val="000668D0"/>
    <w:rsid w:val="000668ED"/>
    <w:rsid w:val="00066AA1"/>
    <w:rsid w:val="00066B01"/>
    <w:rsid w:val="00066B9F"/>
    <w:rsid w:val="00066C91"/>
    <w:rsid w:val="00066E57"/>
    <w:rsid w:val="00067325"/>
    <w:rsid w:val="0006755B"/>
    <w:rsid w:val="00067777"/>
    <w:rsid w:val="000678B9"/>
    <w:rsid w:val="00067AB8"/>
    <w:rsid w:val="00067C4B"/>
    <w:rsid w:val="00067E98"/>
    <w:rsid w:val="00070383"/>
    <w:rsid w:val="0007048C"/>
    <w:rsid w:val="000705AC"/>
    <w:rsid w:val="000706F5"/>
    <w:rsid w:val="0007070D"/>
    <w:rsid w:val="000707FB"/>
    <w:rsid w:val="00070C28"/>
    <w:rsid w:val="00070E0C"/>
    <w:rsid w:val="00070ED3"/>
    <w:rsid w:val="000712F0"/>
    <w:rsid w:val="000715D5"/>
    <w:rsid w:val="00071683"/>
    <w:rsid w:val="0007198D"/>
    <w:rsid w:val="00071BE2"/>
    <w:rsid w:val="00071D12"/>
    <w:rsid w:val="00071F0C"/>
    <w:rsid w:val="00072030"/>
    <w:rsid w:val="00072265"/>
    <w:rsid w:val="00072565"/>
    <w:rsid w:val="00072731"/>
    <w:rsid w:val="00072812"/>
    <w:rsid w:val="00072976"/>
    <w:rsid w:val="00072A01"/>
    <w:rsid w:val="00072A1F"/>
    <w:rsid w:val="00072C26"/>
    <w:rsid w:val="00072F08"/>
    <w:rsid w:val="00072FAB"/>
    <w:rsid w:val="000733AD"/>
    <w:rsid w:val="000733CE"/>
    <w:rsid w:val="000733EB"/>
    <w:rsid w:val="000735A3"/>
    <w:rsid w:val="000736D0"/>
    <w:rsid w:val="00073710"/>
    <w:rsid w:val="000738BD"/>
    <w:rsid w:val="00073961"/>
    <w:rsid w:val="0007396A"/>
    <w:rsid w:val="00073B01"/>
    <w:rsid w:val="00073B83"/>
    <w:rsid w:val="00073D10"/>
    <w:rsid w:val="000740B3"/>
    <w:rsid w:val="00074208"/>
    <w:rsid w:val="0007436D"/>
    <w:rsid w:val="0007448A"/>
    <w:rsid w:val="000744D3"/>
    <w:rsid w:val="0007454A"/>
    <w:rsid w:val="000746F7"/>
    <w:rsid w:val="00074758"/>
    <w:rsid w:val="00074A50"/>
    <w:rsid w:val="00074A84"/>
    <w:rsid w:val="00074C96"/>
    <w:rsid w:val="00074CDC"/>
    <w:rsid w:val="00074D0B"/>
    <w:rsid w:val="00074E7F"/>
    <w:rsid w:val="00074EF2"/>
    <w:rsid w:val="00074F01"/>
    <w:rsid w:val="00074FEE"/>
    <w:rsid w:val="00075057"/>
    <w:rsid w:val="00075090"/>
    <w:rsid w:val="0007543F"/>
    <w:rsid w:val="000754DB"/>
    <w:rsid w:val="00075521"/>
    <w:rsid w:val="000756B5"/>
    <w:rsid w:val="00075908"/>
    <w:rsid w:val="00075B4B"/>
    <w:rsid w:val="00075D6A"/>
    <w:rsid w:val="00075DDC"/>
    <w:rsid w:val="00075E27"/>
    <w:rsid w:val="00075FA0"/>
    <w:rsid w:val="00076292"/>
    <w:rsid w:val="00076372"/>
    <w:rsid w:val="00076473"/>
    <w:rsid w:val="0007695B"/>
    <w:rsid w:val="00076E2C"/>
    <w:rsid w:val="00076EE3"/>
    <w:rsid w:val="00077240"/>
    <w:rsid w:val="0007738C"/>
    <w:rsid w:val="000777A2"/>
    <w:rsid w:val="00077861"/>
    <w:rsid w:val="00077883"/>
    <w:rsid w:val="000778D7"/>
    <w:rsid w:val="0007794B"/>
    <w:rsid w:val="00077962"/>
    <w:rsid w:val="00077B02"/>
    <w:rsid w:val="00077D78"/>
    <w:rsid w:val="000806A6"/>
    <w:rsid w:val="0008080C"/>
    <w:rsid w:val="00080853"/>
    <w:rsid w:val="00080A90"/>
    <w:rsid w:val="00080D02"/>
    <w:rsid w:val="00080D4B"/>
    <w:rsid w:val="00081382"/>
    <w:rsid w:val="00081470"/>
    <w:rsid w:val="000815E6"/>
    <w:rsid w:val="00081601"/>
    <w:rsid w:val="00081659"/>
    <w:rsid w:val="00081B1F"/>
    <w:rsid w:val="00081B42"/>
    <w:rsid w:val="00081E38"/>
    <w:rsid w:val="00081E72"/>
    <w:rsid w:val="00081EF8"/>
    <w:rsid w:val="00082003"/>
    <w:rsid w:val="00082028"/>
    <w:rsid w:val="0008257C"/>
    <w:rsid w:val="0008266B"/>
    <w:rsid w:val="000827A3"/>
    <w:rsid w:val="0008294C"/>
    <w:rsid w:val="00082A46"/>
    <w:rsid w:val="00082F01"/>
    <w:rsid w:val="00082F30"/>
    <w:rsid w:val="0008313F"/>
    <w:rsid w:val="000834F5"/>
    <w:rsid w:val="00083514"/>
    <w:rsid w:val="000836B4"/>
    <w:rsid w:val="00083730"/>
    <w:rsid w:val="000837C6"/>
    <w:rsid w:val="000837C7"/>
    <w:rsid w:val="00083838"/>
    <w:rsid w:val="000839CB"/>
    <w:rsid w:val="00083A1C"/>
    <w:rsid w:val="00083A3E"/>
    <w:rsid w:val="00083C25"/>
    <w:rsid w:val="00083D33"/>
    <w:rsid w:val="00083DC5"/>
    <w:rsid w:val="00083E84"/>
    <w:rsid w:val="0008416C"/>
    <w:rsid w:val="000841A5"/>
    <w:rsid w:val="000841AD"/>
    <w:rsid w:val="000842FF"/>
    <w:rsid w:val="0008453C"/>
    <w:rsid w:val="00084A1F"/>
    <w:rsid w:val="00084AC7"/>
    <w:rsid w:val="00084B01"/>
    <w:rsid w:val="00084D2F"/>
    <w:rsid w:val="00084F15"/>
    <w:rsid w:val="00085001"/>
    <w:rsid w:val="0008514E"/>
    <w:rsid w:val="0008537C"/>
    <w:rsid w:val="000854C6"/>
    <w:rsid w:val="000856DC"/>
    <w:rsid w:val="000859BB"/>
    <w:rsid w:val="000859FA"/>
    <w:rsid w:val="00085AAA"/>
    <w:rsid w:val="00085C9D"/>
    <w:rsid w:val="00085D15"/>
    <w:rsid w:val="00085D4B"/>
    <w:rsid w:val="00085E07"/>
    <w:rsid w:val="00085E40"/>
    <w:rsid w:val="00085E83"/>
    <w:rsid w:val="00085F54"/>
    <w:rsid w:val="0008604C"/>
    <w:rsid w:val="00086068"/>
    <w:rsid w:val="00086451"/>
    <w:rsid w:val="00086996"/>
    <w:rsid w:val="00086A2F"/>
    <w:rsid w:val="00086AC7"/>
    <w:rsid w:val="00086AD0"/>
    <w:rsid w:val="00086AE2"/>
    <w:rsid w:val="00086DDF"/>
    <w:rsid w:val="00086E2C"/>
    <w:rsid w:val="00086E63"/>
    <w:rsid w:val="00087473"/>
    <w:rsid w:val="0008760F"/>
    <w:rsid w:val="000876D0"/>
    <w:rsid w:val="000878A8"/>
    <w:rsid w:val="000878E4"/>
    <w:rsid w:val="00087B01"/>
    <w:rsid w:val="00087B56"/>
    <w:rsid w:val="00087BA8"/>
    <w:rsid w:val="00087C1B"/>
    <w:rsid w:val="00087CC3"/>
    <w:rsid w:val="00087F7F"/>
    <w:rsid w:val="00087F96"/>
    <w:rsid w:val="00090050"/>
    <w:rsid w:val="00090081"/>
    <w:rsid w:val="000901ED"/>
    <w:rsid w:val="000903F6"/>
    <w:rsid w:val="0009044C"/>
    <w:rsid w:val="000904FB"/>
    <w:rsid w:val="00090511"/>
    <w:rsid w:val="000905A9"/>
    <w:rsid w:val="0009064D"/>
    <w:rsid w:val="0009080D"/>
    <w:rsid w:val="00091128"/>
    <w:rsid w:val="0009121E"/>
    <w:rsid w:val="0009129F"/>
    <w:rsid w:val="0009139A"/>
    <w:rsid w:val="000913BE"/>
    <w:rsid w:val="00091480"/>
    <w:rsid w:val="0009169C"/>
    <w:rsid w:val="00091903"/>
    <w:rsid w:val="00091A1C"/>
    <w:rsid w:val="00091A7F"/>
    <w:rsid w:val="00091BA7"/>
    <w:rsid w:val="00091BD4"/>
    <w:rsid w:val="00091D57"/>
    <w:rsid w:val="00091E14"/>
    <w:rsid w:val="00091FC8"/>
    <w:rsid w:val="00092293"/>
    <w:rsid w:val="000923D3"/>
    <w:rsid w:val="00092531"/>
    <w:rsid w:val="0009267F"/>
    <w:rsid w:val="000926E0"/>
    <w:rsid w:val="0009294C"/>
    <w:rsid w:val="00092BEE"/>
    <w:rsid w:val="00092E30"/>
    <w:rsid w:val="00092ED1"/>
    <w:rsid w:val="0009300A"/>
    <w:rsid w:val="00093090"/>
    <w:rsid w:val="000931EC"/>
    <w:rsid w:val="00093407"/>
    <w:rsid w:val="00093B2B"/>
    <w:rsid w:val="00093C5B"/>
    <w:rsid w:val="00093E10"/>
    <w:rsid w:val="00094094"/>
    <w:rsid w:val="000940BB"/>
    <w:rsid w:val="0009414D"/>
    <w:rsid w:val="00094180"/>
    <w:rsid w:val="000941E6"/>
    <w:rsid w:val="000942C2"/>
    <w:rsid w:val="000943A1"/>
    <w:rsid w:val="0009460B"/>
    <w:rsid w:val="0009486B"/>
    <w:rsid w:val="000948D6"/>
    <w:rsid w:val="00094A16"/>
    <w:rsid w:val="00094FE8"/>
    <w:rsid w:val="000950CE"/>
    <w:rsid w:val="000952D4"/>
    <w:rsid w:val="0009536E"/>
    <w:rsid w:val="00095376"/>
    <w:rsid w:val="0009556F"/>
    <w:rsid w:val="000955E3"/>
    <w:rsid w:val="0009595E"/>
    <w:rsid w:val="00095D4E"/>
    <w:rsid w:val="00095D5B"/>
    <w:rsid w:val="00095E81"/>
    <w:rsid w:val="000961D5"/>
    <w:rsid w:val="000961E5"/>
    <w:rsid w:val="00096232"/>
    <w:rsid w:val="000962A1"/>
    <w:rsid w:val="000962DC"/>
    <w:rsid w:val="0009650A"/>
    <w:rsid w:val="0009657D"/>
    <w:rsid w:val="000965EF"/>
    <w:rsid w:val="000967CF"/>
    <w:rsid w:val="0009694A"/>
    <w:rsid w:val="00096978"/>
    <w:rsid w:val="00096A9E"/>
    <w:rsid w:val="00096B43"/>
    <w:rsid w:val="00096C66"/>
    <w:rsid w:val="00096DBA"/>
    <w:rsid w:val="00096F11"/>
    <w:rsid w:val="00096F24"/>
    <w:rsid w:val="00097058"/>
    <w:rsid w:val="000970B3"/>
    <w:rsid w:val="000970BF"/>
    <w:rsid w:val="00097133"/>
    <w:rsid w:val="0009732B"/>
    <w:rsid w:val="000974FA"/>
    <w:rsid w:val="00097674"/>
    <w:rsid w:val="000976FA"/>
    <w:rsid w:val="0009799E"/>
    <w:rsid w:val="00097AD6"/>
    <w:rsid w:val="00097B40"/>
    <w:rsid w:val="00097E0E"/>
    <w:rsid w:val="000A03C8"/>
    <w:rsid w:val="000A052C"/>
    <w:rsid w:val="000A066B"/>
    <w:rsid w:val="000A06D4"/>
    <w:rsid w:val="000A095D"/>
    <w:rsid w:val="000A0E66"/>
    <w:rsid w:val="000A0EAB"/>
    <w:rsid w:val="000A0F20"/>
    <w:rsid w:val="000A13E1"/>
    <w:rsid w:val="000A1505"/>
    <w:rsid w:val="000A154B"/>
    <w:rsid w:val="000A1602"/>
    <w:rsid w:val="000A1670"/>
    <w:rsid w:val="000A1887"/>
    <w:rsid w:val="000A191B"/>
    <w:rsid w:val="000A1967"/>
    <w:rsid w:val="000A1BB1"/>
    <w:rsid w:val="000A1C86"/>
    <w:rsid w:val="000A1CB2"/>
    <w:rsid w:val="000A2244"/>
    <w:rsid w:val="000A2395"/>
    <w:rsid w:val="000A2475"/>
    <w:rsid w:val="000A255A"/>
    <w:rsid w:val="000A27EC"/>
    <w:rsid w:val="000A2956"/>
    <w:rsid w:val="000A2AB4"/>
    <w:rsid w:val="000A2B50"/>
    <w:rsid w:val="000A2D46"/>
    <w:rsid w:val="000A2D53"/>
    <w:rsid w:val="000A2DB3"/>
    <w:rsid w:val="000A2DB4"/>
    <w:rsid w:val="000A2DEA"/>
    <w:rsid w:val="000A2E9B"/>
    <w:rsid w:val="000A2FE1"/>
    <w:rsid w:val="000A309B"/>
    <w:rsid w:val="000A30C6"/>
    <w:rsid w:val="000A31B3"/>
    <w:rsid w:val="000A333A"/>
    <w:rsid w:val="000A338A"/>
    <w:rsid w:val="000A33F4"/>
    <w:rsid w:val="000A3419"/>
    <w:rsid w:val="000A354A"/>
    <w:rsid w:val="000A3787"/>
    <w:rsid w:val="000A3AD2"/>
    <w:rsid w:val="000A3B76"/>
    <w:rsid w:val="000A3B99"/>
    <w:rsid w:val="000A3D22"/>
    <w:rsid w:val="000A3D92"/>
    <w:rsid w:val="000A40DC"/>
    <w:rsid w:val="000A4193"/>
    <w:rsid w:val="000A41A8"/>
    <w:rsid w:val="000A42E2"/>
    <w:rsid w:val="000A43E7"/>
    <w:rsid w:val="000A43E9"/>
    <w:rsid w:val="000A46A1"/>
    <w:rsid w:val="000A4704"/>
    <w:rsid w:val="000A4777"/>
    <w:rsid w:val="000A4ADE"/>
    <w:rsid w:val="000A4DE2"/>
    <w:rsid w:val="000A4DE5"/>
    <w:rsid w:val="000A4E04"/>
    <w:rsid w:val="000A530C"/>
    <w:rsid w:val="000A5386"/>
    <w:rsid w:val="000A548E"/>
    <w:rsid w:val="000A56E6"/>
    <w:rsid w:val="000A5871"/>
    <w:rsid w:val="000A58DA"/>
    <w:rsid w:val="000A596B"/>
    <w:rsid w:val="000A5AF1"/>
    <w:rsid w:val="000A5B53"/>
    <w:rsid w:val="000A5C89"/>
    <w:rsid w:val="000A5F13"/>
    <w:rsid w:val="000A5F6B"/>
    <w:rsid w:val="000A60C8"/>
    <w:rsid w:val="000A618D"/>
    <w:rsid w:val="000A62EA"/>
    <w:rsid w:val="000A6342"/>
    <w:rsid w:val="000A6352"/>
    <w:rsid w:val="000A6426"/>
    <w:rsid w:val="000A675A"/>
    <w:rsid w:val="000A67AA"/>
    <w:rsid w:val="000A6931"/>
    <w:rsid w:val="000A6A3A"/>
    <w:rsid w:val="000A6A5E"/>
    <w:rsid w:val="000A6CB5"/>
    <w:rsid w:val="000A7046"/>
    <w:rsid w:val="000A72C5"/>
    <w:rsid w:val="000A731F"/>
    <w:rsid w:val="000A7530"/>
    <w:rsid w:val="000A75B7"/>
    <w:rsid w:val="000A7766"/>
    <w:rsid w:val="000A78C2"/>
    <w:rsid w:val="000A7A15"/>
    <w:rsid w:val="000A7A9A"/>
    <w:rsid w:val="000A7C6C"/>
    <w:rsid w:val="000A7D65"/>
    <w:rsid w:val="000A7F31"/>
    <w:rsid w:val="000B01CA"/>
    <w:rsid w:val="000B046D"/>
    <w:rsid w:val="000B050E"/>
    <w:rsid w:val="000B05EE"/>
    <w:rsid w:val="000B072E"/>
    <w:rsid w:val="000B0886"/>
    <w:rsid w:val="000B08A1"/>
    <w:rsid w:val="000B0DC0"/>
    <w:rsid w:val="000B1152"/>
    <w:rsid w:val="000B1167"/>
    <w:rsid w:val="000B1297"/>
    <w:rsid w:val="000B12E2"/>
    <w:rsid w:val="000B14E0"/>
    <w:rsid w:val="000B17D9"/>
    <w:rsid w:val="000B18F0"/>
    <w:rsid w:val="000B1952"/>
    <w:rsid w:val="000B1A27"/>
    <w:rsid w:val="000B1B65"/>
    <w:rsid w:val="000B1DE8"/>
    <w:rsid w:val="000B1ED3"/>
    <w:rsid w:val="000B1FCD"/>
    <w:rsid w:val="000B2017"/>
    <w:rsid w:val="000B2050"/>
    <w:rsid w:val="000B213D"/>
    <w:rsid w:val="000B2240"/>
    <w:rsid w:val="000B2278"/>
    <w:rsid w:val="000B262E"/>
    <w:rsid w:val="000B271E"/>
    <w:rsid w:val="000B2B6A"/>
    <w:rsid w:val="000B2F38"/>
    <w:rsid w:val="000B2FEE"/>
    <w:rsid w:val="000B315B"/>
    <w:rsid w:val="000B31F2"/>
    <w:rsid w:val="000B33CD"/>
    <w:rsid w:val="000B36B1"/>
    <w:rsid w:val="000B3771"/>
    <w:rsid w:val="000B3873"/>
    <w:rsid w:val="000B3B4C"/>
    <w:rsid w:val="000B3BE2"/>
    <w:rsid w:val="000B3BF7"/>
    <w:rsid w:val="000B3C25"/>
    <w:rsid w:val="000B4014"/>
    <w:rsid w:val="000B4047"/>
    <w:rsid w:val="000B40C6"/>
    <w:rsid w:val="000B4193"/>
    <w:rsid w:val="000B41B3"/>
    <w:rsid w:val="000B439C"/>
    <w:rsid w:val="000B45F5"/>
    <w:rsid w:val="000B47BA"/>
    <w:rsid w:val="000B4886"/>
    <w:rsid w:val="000B4BA4"/>
    <w:rsid w:val="000B4DF7"/>
    <w:rsid w:val="000B5128"/>
    <w:rsid w:val="000B51C0"/>
    <w:rsid w:val="000B5360"/>
    <w:rsid w:val="000B5530"/>
    <w:rsid w:val="000B58C4"/>
    <w:rsid w:val="000B592A"/>
    <w:rsid w:val="000B5C82"/>
    <w:rsid w:val="000B5CAF"/>
    <w:rsid w:val="000B5CEF"/>
    <w:rsid w:val="000B5D19"/>
    <w:rsid w:val="000B5DCD"/>
    <w:rsid w:val="000B5E5A"/>
    <w:rsid w:val="000B5FFF"/>
    <w:rsid w:val="000B6072"/>
    <w:rsid w:val="000B679E"/>
    <w:rsid w:val="000B680C"/>
    <w:rsid w:val="000B6AB5"/>
    <w:rsid w:val="000B6B30"/>
    <w:rsid w:val="000B6D2E"/>
    <w:rsid w:val="000B6FD6"/>
    <w:rsid w:val="000B7140"/>
    <w:rsid w:val="000B7252"/>
    <w:rsid w:val="000B72C8"/>
    <w:rsid w:val="000B72D2"/>
    <w:rsid w:val="000B748B"/>
    <w:rsid w:val="000B7524"/>
    <w:rsid w:val="000B78E1"/>
    <w:rsid w:val="000B7A1B"/>
    <w:rsid w:val="000B7B7F"/>
    <w:rsid w:val="000B7DB7"/>
    <w:rsid w:val="000C00F9"/>
    <w:rsid w:val="000C0185"/>
    <w:rsid w:val="000C022E"/>
    <w:rsid w:val="000C0320"/>
    <w:rsid w:val="000C03D3"/>
    <w:rsid w:val="000C04AF"/>
    <w:rsid w:val="000C0751"/>
    <w:rsid w:val="000C0780"/>
    <w:rsid w:val="000C0840"/>
    <w:rsid w:val="000C0871"/>
    <w:rsid w:val="000C09DF"/>
    <w:rsid w:val="000C0A50"/>
    <w:rsid w:val="000C0C74"/>
    <w:rsid w:val="000C0CF4"/>
    <w:rsid w:val="000C0E57"/>
    <w:rsid w:val="000C0EA4"/>
    <w:rsid w:val="000C10AC"/>
    <w:rsid w:val="000C16EB"/>
    <w:rsid w:val="000C1874"/>
    <w:rsid w:val="000C19E1"/>
    <w:rsid w:val="000C1CF8"/>
    <w:rsid w:val="000C1DBB"/>
    <w:rsid w:val="000C1DEB"/>
    <w:rsid w:val="000C1DF4"/>
    <w:rsid w:val="000C1FB1"/>
    <w:rsid w:val="000C21E4"/>
    <w:rsid w:val="000C22F9"/>
    <w:rsid w:val="000C23CE"/>
    <w:rsid w:val="000C2481"/>
    <w:rsid w:val="000C24AD"/>
    <w:rsid w:val="000C25A1"/>
    <w:rsid w:val="000C25CE"/>
    <w:rsid w:val="000C264E"/>
    <w:rsid w:val="000C266B"/>
    <w:rsid w:val="000C2907"/>
    <w:rsid w:val="000C2920"/>
    <w:rsid w:val="000C2AA5"/>
    <w:rsid w:val="000C2ADB"/>
    <w:rsid w:val="000C2E1E"/>
    <w:rsid w:val="000C2E5F"/>
    <w:rsid w:val="000C2E92"/>
    <w:rsid w:val="000C2EBA"/>
    <w:rsid w:val="000C314B"/>
    <w:rsid w:val="000C328E"/>
    <w:rsid w:val="000C33A8"/>
    <w:rsid w:val="000C3509"/>
    <w:rsid w:val="000C357F"/>
    <w:rsid w:val="000C384F"/>
    <w:rsid w:val="000C38F9"/>
    <w:rsid w:val="000C391A"/>
    <w:rsid w:val="000C3ADA"/>
    <w:rsid w:val="000C3ECA"/>
    <w:rsid w:val="000C4021"/>
    <w:rsid w:val="000C4109"/>
    <w:rsid w:val="000C4303"/>
    <w:rsid w:val="000C44EB"/>
    <w:rsid w:val="000C4712"/>
    <w:rsid w:val="000C4734"/>
    <w:rsid w:val="000C4772"/>
    <w:rsid w:val="000C4A4E"/>
    <w:rsid w:val="000C4C4C"/>
    <w:rsid w:val="000C4DF8"/>
    <w:rsid w:val="000C4E8A"/>
    <w:rsid w:val="000C50C0"/>
    <w:rsid w:val="000C5136"/>
    <w:rsid w:val="000C513D"/>
    <w:rsid w:val="000C5145"/>
    <w:rsid w:val="000C5347"/>
    <w:rsid w:val="000C56FB"/>
    <w:rsid w:val="000C5713"/>
    <w:rsid w:val="000C599B"/>
    <w:rsid w:val="000C5D39"/>
    <w:rsid w:val="000C6101"/>
    <w:rsid w:val="000C61DB"/>
    <w:rsid w:val="000C61FC"/>
    <w:rsid w:val="000C6431"/>
    <w:rsid w:val="000C666A"/>
    <w:rsid w:val="000C6741"/>
    <w:rsid w:val="000C67C1"/>
    <w:rsid w:val="000C6962"/>
    <w:rsid w:val="000C6B43"/>
    <w:rsid w:val="000C6D23"/>
    <w:rsid w:val="000C6F67"/>
    <w:rsid w:val="000C7262"/>
    <w:rsid w:val="000C7435"/>
    <w:rsid w:val="000C756B"/>
    <w:rsid w:val="000C780B"/>
    <w:rsid w:val="000C7C2A"/>
    <w:rsid w:val="000C7C41"/>
    <w:rsid w:val="000C7F1C"/>
    <w:rsid w:val="000D0071"/>
    <w:rsid w:val="000D00B9"/>
    <w:rsid w:val="000D01DB"/>
    <w:rsid w:val="000D032C"/>
    <w:rsid w:val="000D040D"/>
    <w:rsid w:val="000D0490"/>
    <w:rsid w:val="000D04B9"/>
    <w:rsid w:val="000D0514"/>
    <w:rsid w:val="000D05AF"/>
    <w:rsid w:val="000D06A7"/>
    <w:rsid w:val="000D07E4"/>
    <w:rsid w:val="000D07F5"/>
    <w:rsid w:val="000D0897"/>
    <w:rsid w:val="000D0A29"/>
    <w:rsid w:val="000D0EE0"/>
    <w:rsid w:val="000D127C"/>
    <w:rsid w:val="000D12F9"/>
    <w:rsid w:val="000D136F"/>
    <w:rsid w:val="000D1484"/>
    <w:rsid w:val="000D1504"/>
    <w:rsid w:val="000D1652"/>
    <w:rsid w:val="000D165C"/>
    <w:rsid w:val="000D1782"/>
    <w:rsid w:val="000D1847"/>
    <w:rsid w:val="000D1890"/>
    <w:rsid w:val="000D1942"/>
    <w:rsid w:val="000D1AEB"/>
    <w:rsid w:val="000D1D3E"/>
    <w:rsid w:val="000D1E66"/>
    <w:rsid w:val="000D1EF0"/>
    <w:rsid w:val="000D1F53"/>
    <w:rsid w:val="000D1FFD"/>
    <w:rsid w:val="000D204C"/>
    <w:rsid w:val="000D20CE"/>
    <w:rsid w:val="000D21E8"/>
    <w:rsid w:val="000D2540"/>
    <w:rsid w:val="000D2644"/>
    <w:rsid w:val="000D2668"/>
    <w:rsid w:val="000D26C1"/>
    <w:rsid w:val="000D2814"/>
    <w:rsid w:val="000D2D77"/>
    <w:rsid w:val="000D2F8E"/>
    <w:rsid w:val="000D2FA6"/>
    <w:rsid w:val="000D3165"/>
    <w:rsid w:val="000D319F"/>
    <w:rsid w:val="000D3465"/>
    <w:rsid w:val="000D39D0"/>
    <w:rsid w:val="000D3A08"/>
    <w:rsid w:val="000D3D4D"/>
    <w:rsid w:val="000D3E1F"/>
    <w:rsid w:val="000D3E4D"/>
    <w:rsid w:val="000D3E83"/>
    <w:rsid w:val="000D4261"/>
    <w:rsid w:val="000D43A3"/>
    <w:rsid w:val="000D4644"/>
    <w:rsid w:val="000D46B7"/>
    <w:rsid w:val="000D4A31"/>
    <w:rsid w:val="000D4B17"/>
    <w:rsid w:val="000D4B9C"/>
    <w:rsid w:val="000D4C6A"/>
    <w:rsid w:val="000D4D09"/>
    <w:rsid w:val="000D4E1D"/>
    <w:rsid w:val="000D4EA3"/>
    <w:rsid w:val="000D4ECC"/>
    <w:rsid w:val="000D525A"/>
    <w:rsid w:val="000D5286"/>
    <w:rsid w:val="000D543D"/>
    <w:rsid w:val="000D551E"/>
    <w:rsid w:val="000D558E"/>
    <w:rsid w:val="000D5602"/>
    <w:rsid w:val="000D5882"/>
    <w:rsid w:val="000D5A7D"/>
    <w:rsid w:val="000D5B9E"/>
    <w:rsid w:val="000D5D45"/>
    <w:rsid w:val="000D5DA0"/>
    <w:rsid w:val="000D5DF0"/>
    <w:rsid w:val="000D60D3"/>
    <w:rsid w:val="000D6287"/>
    <w:rsid w:val="000D628D"/>
    <w:rsid w:val="000D62C5"/>
    <w:rsid w:val="000D645A"/>
    <w:rsid w:val="000D6468"/>
    <w:rsid w:val="000D6597"/>
    <w:rsid w:val="000D6A29"/>
    <w:rsid w:val="000D6DB9"/>
    <w:rsid w:val="000D6DC2"/>
    <w:rsid w:val="000D6E9D"/>
    <w:rsid w:val="000D7048"/>
    <w:rsid w:val="000D74D4"/>
    <w:rsid w:val="000D7595"/>
    <w:rsid w:val="000D7600"/>
    <w:rsid w:val="000D76D3"/>
    <w:rsid w:val="000D7772"/>
    <w:rsid w:val="000D787C"/>
    <w:rsid w:val="000D787E"/>
    <w:rsid w:val="000D79BC"/>
    <w:rsid w:val="000D7A4B"/>
    <w:rsid w:val="000D7B6D"/>
    <w:rsid w:val="000D7BC1"/>
    <w:rsid w:val="000D7BD2"/>
    <w:rsid w:val="000D7BEA"/>
    <w:rsid w:val="000D7D07"/>
    <w:rsid w:val="000D7E2B"/>
    <w:rsid w:val="000E08C0"/>
    <w:rsid w:val="000E0AF3"/>
    <w:rsid w:val="000E0BA9"/>
    <w:rsid w:val="000E0F7B"/>
    <w:rsid w:val="000E0FE7"/>
    <w:rsid w:val="000E1161"/>
    <w:rsid w:val="000E12A4"/>
    <w:rsid w:val="000E138A"/>
    <w:rsid w:val="000E1511"/>
    <w:rsid w:val="000E1527"/>
    <w:rsid w:val="000E1533"/>
    <w:rsid w:val="000E1540"/>
    <w:rsid w:val="000E1576"/>
    <w:rsid w:val="000E16CF"/>
    <w:rsid w:val="000E176B"/>
    <w:rsid w:val="000E1832"/>
    <w:rsid w:val="000E1870"/>
    <w:rsid w:val="000E18C9"/>
    <w:rsid w:val="000E18EF"/>
    <w:rsid w:val="000E1C1A"/>
    <w:rsid w:val="000E1D82"/>
    <w:rsid w:val="000E1DE1"/>
    <w:rsid w:val="000E1E30"/>
    <w:rsid w:val="000E1F10"/>
    <w:rsid w:val="000E1FE0"/>
    <w:rsid w:val="000E204A"/>
    <w:rsid w:val="000E20CA"/>
    <w:rsid w:val="000E2560"/>
    <w:rsid w:val="000E29DF"/>
    <w:rsid w:val="000E2A7D"/>
    <w:rsid w:val="000E2AE5"/>
    <w:rsid w:val="000E2E76"/>
    <w:rsid w:val="000E2F95"/>
    <w:rsid w:val="000E3005"/>
    <w:rsid w:val="000E3098"/>
    <w:rsid w:val="000E30BC"/>
    <w:rsid w:val="000E332E"/>
    <w:rsid w:val="000E3476"/>
    <w:rsid w:val="000E359F"/>
    <w:rsid w:val="000E35F9"/>
    <w:rsid w:val="000E3803"/>
    <w:rsid w:val="000E3859"/>
    <w:rsid w:val="000E393C"/>
    <w:rsid w:val="000E3FCF"/>
    <w:rsid w:val="000E3FE5"/>
    <w:rsid w:val="000E3FF9"/>
    <w:rsid w:val="000E401A"/>
    <w:rsid w:val="000E4109"/>
    <w:rsid w:val="000E4377"/>
    <w:rsid w:val="000E437E"/>
    <w:rsid w:val="000E4572"/>
    <w:rsid w:val="000E459A"/>
    <w:rsid w:val="000E46C5"/>
    <w:rsid w:val="000E47DA"/>
    <w:rsid w:val="000E49B6"/>
    <w:rsid w:val="000E4C94"/>
    <w:rsid w:val="000E4CB6"/>
    <w:rsid w:val="000E4CC5"/>
    <w:rsid w:val="000E50D2"/>
    <w:rsid w:val="000E5201"/>
    <w:rsid w:val="000E523D"/>
    <w:rsid w:val="000E587D"/>
    <w:rsid w:val="000E5929"/>
    <w:rsid w:val="000E5DA4"/>
    <w:rsid w:val="000E5E8B"/>
    <w:rsid w:val="000E5EB4"/>
    <w:rsid w:val="000E5FE8"/>
    <w:rsid w:val="000E610B"/>
    <w:rsid w:val="000E63AC"/>
    <w:rsid w:val="000E63B5"/>
    <w:rsid w:val="000E66FC"/>
    <w:rsid w:val="000E6766"/>
    <w:rsid w:val="000E6870"/>
    <w:rsid w:val="000E6982"/>
    <w:rsid w:val="000E69FC"/>
    <w:rsid w:val="000E6AE8"/>
    <w:rsid w:val="000E6C6C"/>
    <w:rsid w:val="000E6C7F"/>
    <w:rsid w:val="000E6D2B"/>
    <w:rsid w:val="000E7013"/>
    <w:rsid w:val="000E7056"/>
    <w:rsid w:val="000E713F"/>
    <w:rsid w:val="000E7359"/>
    <w:rsid w:val="000E74A8"/>
    <w:rsid w:val="000E75CD"/>
    <w:rsid w:val="000E774C"/>
    <w:rsid w:val="000E789C"/>
    <w:rsid w:val="000E78A1"/>
    <w:rsid w:val="000E78F3"/>
    <w:rsid w:val="000E7C48"/>
    <w:rsid w:val="000E7C51"/>
    <w:rsid w:val="000E7D77"/>
    <w:rsid w:val="000E7DF4"/>
    <w:rsid w:val="000E7F8A"/>
    <w:rsid w:val="000F001C"/>
    <w:rsid w:val="000F03E6"/>
    <w:rsid w:val="000F03FE"/>
    <w:rsid w:val="000F043E"/>
    <w:rsid w:val="000F061D"/>
    <w:rsid w:val="000F063E"/>
    <w:rsid w:val="000F06CF"/>
    <w:rsid w:val="000F08D6"/>
    <w:rsid w:val="000F09D7"/>
    <w:rsid w:val="000F0C00"/>
    <w:rsid w:val="000F0C3D"/>
    <w:rsid w:val="000F0CA3"/>
    <w:rsid w:val="000F0CD4"/>
    <w:rsid w:val="000F10FD"/>
    <w:rsid w:val="000F1112"/>
    <w:rsid w:val="000F1760"/>
    <w:rsid w:val="000F192A"/>
    <w:rsid w:val="000F19E3"/>
    <w:rsid w:val="000F19FF"/>
    <w:rsid w:val="000F1AC8"/>
    <w:rsid w:val="000F1E33"/>
    <w:rsid w:val="000F1F15"/>
    <w:rsid w:val="000F20C9"/>
    <w:rsid w:val="000F22FF"/>
    <w:rsid w:val="000F24EA"/>
    <w:rsid w:val="000F2588"/>
    <w:rsid w:val="000F2777"/>
    <w:rsid w:val="000F28B8"/>
    <w:rsid w:val="000F2A2A"/>
    <w:rsid w:val="000F2B26"/>
    <w:rsid w:val="000F2BAE"/>
    <w:rsid w:val="000F2D2A"/>
    <w:rsid w:val="000F2D61"/>
    <w:rsid w:val="000F300C"/>
    <w:rsid w:val="000F335E"/>
    <w:rsid w:val="000F357E"/>
    <w:rsid w:val="000F38D1"/>
    <w:rsid w:val="000F38D9"/>
    <w:rsid w:val="000F3A61"/>
    <w:rsid w:val="000F3AD2"/>
    <w:rsid w:val="000F3DE2"/>
    <w:rsid w:val="000F4059"/>
    <w:rsid w:val="000F405D"/>
    <w:rsid w:val="000F42DB"/>
    <w:rsid w:val="000F4466"/>
    <w:rsid w:val="000F451E"/>
    <w:rsid w:val="000F45AC"/>
    <w:rsid w:val="000F48BC"/>
    <w:rsid w:val="000F4C01"/>
    <w:rsid w:val="000F4CAB"/>
    <w:rsid w:val="000F4D81"/>
    <w:rsid w:val="000F4F5F"/>
    <w:rsid w:val="000F4F71"/>
    <w:rsid w:val="000F4F91"/>
    <w:rsid w:val="000F5001"/>
    <w:rsid w:val="000F5287"/>
    <w:rsid w:val="000F529C"/>
    <w:rsid w:val="000F5339"/>
    <w:rsid w:val="000F5531"/>
    <w:rsid w:val="000F557A"/>
    <w:rsid w:val="000F55AB"/>
    <w:rsid w:val="000F5764"/>
    <w:rsid w:val="000F577A"/>
    <w:rsid w:val="000F58A6"/>
    <w:rsid w:val="000F58DE"/>
    <w:rsid w:val="000F5BA9"/>
    <w:rsid w:val="000F5C6E"/>
    <w:rsid w:val="000F68A9"/>
    <w:rsid w:val="000F69BB"/>
    <w:rsid w:val="000F6B16"/>
    <w:rsid w:val="000F6C23"/>
    <w:rsid w:val="000F6E43"/>
    <w:rsid w:val="000F6EDF"/>
    <w:rsid w:val="000F6F4F"/>
    <w:rsid w:val="000F6FB7"/>
    <w:rsid w:val="000F6FE2"/>
    <w:rsid w:val="000F73AE"/>
    <w:rsid w:val="000F74CD"/>
    <w:rsid w:val="000F7568"/>
    <w:rsid w:val="000F76D5"/>
    <w:rsid w:val="000F78C5"/>
    <w:rsid w:val="000F79B7"/>
    <w:rsid w:val="000F79DD"/>
    <w:rsid w:val="000F7DB1"/>
    <w:rsid w:val="000F7FCA"/>
    <w:rsid w:val="0010009C"/>
    <w:rsid w:val="001001C2"/>
    <w:rsid w:val="00100408"/>
    <w:rsid w:val="00100499"/>
    <w:rsid w:val="00100582"/>
    <w:rsid w:val="001009FE"/>
    <w:rsid w:val="00100AD1"/>
    <w:rsid w:val="00100CD6"/>
    <w:rsid w:val="00100D54"/>
    <w:rsid w:val="00100DE6"/>
    <w:rsid w:val="00100FA6"/>
    <w:rsid w:val="00100FBF"/>
    <w:rsid w:val="001010D7"/>
    <w:rsid w:val="001014D3"/>
    <w:rsid w:val="0010161B"/>
    <w:rsid w:val="001018A5"/>
    <w:rsid w:val="001019C6"/>
    <w:rsid w:val="00101CA1"/>
    <w:rsid w:val="00102422"/>
    <w:rsid w:val="0010242E"/>
    <w:rsid w:val="0010245D"/>
    <w:rsid w:val="00102917"/>
    <w:rsid w:val="00102AA3"/>
    <w:rsid w:val="00102E48"/>
    <w:rsid w:val="00102F7B"/>
    <w:rsid w:val="00103204"/>
    <w:rsid w:val="00103258"/>
    <w:rsid w:val="00103B91"/>
    <w:rsid w:val="00103C61"/>
    <w:rsid w:val="00103E75"/>
    <w:rsid w:val="00103F27"/>
    <w:rsid w:val="001041AA"/>
    <w:rsid w:val="001042C5"/>
    <w:rsid w:val="00104300"/>
    <w:rsid w:val="001043DB"/>
    <w:rsid w:val="00104488"/>
    <w:rsid w:val="00104795"/>
    <w:rsid w:val="00104866"/>
    <w:rsid w:val="001048C1"/>
    <w:rsid w:val="00104900"/>
    <w:rsid w:val="00104927"/>
    <w:rsid w:val="0010492C"/>
    <w:rsid w:val="00104A53"/>
    <w:rsid w:val="00104D1C"/>
    <w:rsid w:val="00104DE2"/>
    <w:rsid w:val="00104E37"/>
    <w:rsid w:val="00104E8A"/>
    <w:rsid w:val="00104FD8"/>
    <w:rsid w:val="00105010"/>
    <w:rsid w:val="001052E1"/>
    <w:rsid w:val="001053F3"/>
    <w:rsid w:val="0010545A"/>
    <w:rsid w:val="00105481"/>
    <w:rsid w:val="00105590"/>
    <w:rsid w:val="001055ED"/>
    <w:rsid w:val="001059A2"/>
    <w:rsid w:val="00105A4E"/>
    <w:rsid w:val="00105B36"/>
    <w:rsid w:val="00105B86"/>
    <w:rsid w:val="00105BA4"/>
    <w:rsid w:val="00105BB1"/>
    <w:rsid w:val="00105C46"/>
    <w:rsid w:val="00105CCD"/>
    <w:rsid w:val="00105CF5"/>
    <w:rsid w:val="00105DAD"/>
    <w:rsid w:val="00105E0B"/>
    <w:rsid w:val="00105F36"/>
    <w:rsid w:val="00105FCE"/>
    <w:rsid w:val="00106128"/>
    <w:rsid w:val="0010660A"/>
    <w:rsid w:val="001067FE"/>
    <w:rsid w:val="00106908"/>
    <w:rsid w:val="00106AC0"/>
    <w:rsid w:val="00106B49"/>
    <w:rsid w:val="00106DD1"/>
    <w:rsid w:val="001071B4"/>
    <w:rsid w:val="001073C1"/>
    <w:rsid w:val="00107841"/>
    <w:rsid w:val="00107BD4"/>
    <w:rsid w:val="00107D53"/>
    <w:rsid w:val="00107E5E"/>
    <w:rsid w:val="00110337"/>
    <w:rsid w:val="00110341"/>
    <w:rsid w:val="0011041A"/>
    <w:rsid w:val="00110489"/>
    <w:rsid w:val="001104AF"/>
    <w:rsid w:val="001107F5"/>
    <w:rsid w:val="00110887"/>
    <w:rsid w:val="00110A14"/>
    <w:rsid w:val="00110A55"/>
    <w:rsid w:val="00110B2A"/>
    <w:rsid w:val="00110BEE"/>
    <w:rsid w:val="0011129A"/>
    <w:rsid w:val="001113E8"/>
    <w:rsid w:val="001113F3"/>
    <w:rsid w:val="0011148B"/>
    <w:rsid w:val="0011156F"/>
    <w:rsid w:val="0011162A"/>
    <w:rsid w:val="0011196D"/>
    <w:rsid w:val="00111B38"/>
    <w:rsid w:val="00111D94"/>
    <w:rsid w:val="00111E8A"/>
    <w:rsid w:val="00111F0F"/>
    <w:rsid w:val="00112132"/>
    <w:rsid w:val="00112307"/>
    <w:rsid w:val="001125A5"/>
    <w:rsid w:val="00112638"/>
    <w:rsid w:val="001126E7"/>
    <w:rsid w:val="00112795"/>
    <w:rsid w:val="00112A6A"/>
    <w:rsid w:val="00112B9A"/>
    <w:rsid w:val="00112BAF"/>
    <w:rsid w:val="00112C36"/>
    <w:rsid w:val="00112C54"/>
    <w:rsid w:val="00112FCB"/>
    <w:rsid w:val="00112FF4"/>
    <w:rsid w:val="00113015"/>
    <w:rsid w:val="001131C7"/>
    <w:rsid w:val="00113258"/>
    <w:rsid w:val="001133F3"/>
    <w:rsid w:val="001135D3"/>
    <w:rsid w:val="001136CE"/>
    <w:rsid w:val="001136E3"/>
    <w:rsid w:val="001136FB"/>
    <w:rsid w:val="00113985"/>
    <w:rsid w:val="00113C9D"/>
    <w:rsid w:val="00113D6E"/>
    <w:rsid w:val="0011466D"/>
    <w:rsid w:val="00114A5F"/>
    <w:rsid w:val="00114F71"/>
    <w:rsid w:val="00114FB8"/>
    <w:rsid w:val="00115022"/>
    <w:rsid w:val="00115186"/>
    <w:rsid w:val="00115211"/>
    <w:rsid w:val="00115245"/>
    <w:rsid w:val="0011542D"/>
    <w:rsid w:val="00115436"/>
    <w:rsid w:val="001154C7"/>
    <w:rsid w:val="0011599A"/>
    <w:rsid w:val="001159A2"/>
    <w:rsid w:val="00115A2B"/>
    <w:rsid w:val="00115A6B"/>
    <w:rsid w:val="00115A9C"/>
    <w:rsid w:val="00115B4C"/>
    <w:rsid w:val="00115E88"/>
    <w:rsid w:val="001161B8"/>
    <w:rsid w:val="0011643E"/>
    <w:rsid w:val="00116739"/>
    <w:rsid w:val="001169C7"/>
    <w:rsid w:val="00116A7F"/>
    <w:rsid w:val="00116B95"/>
    <w:rsid w:val="00116BC9"/>
    <w:rsid w:val="00116EF0"/>
    <w:rsid w:val="00116FFC"/>
    <w:rsid w:val="00117204"/>
    <w:rsid w:val="001172D7"/>
    <w:rsid w:val="00117314"/>
    <w:rsid w:val="00117614"/>
    <w:rsid w:val="00117717"/>
    <w:rsid w:val="00117796"/>
    <w:rsid w:val="00117A73"/>
    <w:rsid w:val="00117C4D"/>
    <w:rsid w:val="00117C50"/>
    <w:rsid w:val="00117D0B"/>
    <w:rsid w:val="00117D4F"/>
    <w:rsid w:val="00117E8E"/>
    <w:rsid w:val="00117E9C"/>
    <w:rsid w:val="00120156"/>
    <w:rsid w:val="00120209"/>
    <w:rsid w:val="0012031F"/>
    <w:rsid w:val="00120354"/>
    <w:rsid w:val="0012053D"/>
    <w:rsid w:val="001205E5"/>
    <w:rsid w:val="001206E7"/>
    <w:rsid w:val="00120715"/>
    <w:rsid w:val="0012089F"/>
    <w:rsid w:val="00120A24"/>
    <w:rsid w:val="00120C0D"/>
    <w:rsid w:val="00120F05"/>
    <w:rsid w:val="00120FBB"/>
    <w:rsid w:val="00121490"/>
    <w:rsid w:val="00121550"/>
    <w:rsid w:val="00121819"/>
    <w:rsid w:val="00121859"/>
    <w:rsid w:val="00121911"/>
    <w:rsid w:val="00121BF0"/>
    <w:rsid w:val="00121C60"/>
    <w:rsid w:val="00121C80"/>
    <w:rsid w:val="0012200A"/>
    <w:rsid w:val="001220D3"/>
    <w:rsid w:val="0012213F"/>
    <w:rsid w:val="001222EB"/>
    <w:rsid w:val="001222F5"/>
    <w:rsid w:val="0012244B"/>
    <w:rsid w:val="00122587"/>
    <w:rsid w:val="0012269F"/>
    <w:rsid w:val="001229E8"/>
    <w:rsid w:val="00122B10"/>
    <w:rsid w:val="00122B89"/>
    <w:rsid w:val="00122D1D"/>
    <w:rsid w:val="00122D63"/>
    <w:rsid w:val="00123021"/>
    <w:rsid w:val="00123175"/>
    <w:rsid w:val="00123215"/>
    <w:rsid w:val="00123457"/>
    <w:rsid w:val="001238D5"/>
    <w:rsid w:val="00123AA1"/>
    <w:rsid w:val="00123AB7"/>
    <w:rsid w:val="00123BC4"/>
    <w:rsid w:val="00123D1A"/>
    <w:rsid w:val="00123EAB"/>
    <w:rsid w:val="00123F4E"/>
    <w:rsid w:val="001240A8"/>
    <w:rsid w:val="001242F2"/>
    <w:rsid w:val="0012443D"/>
    <w:rsid w:val="00124629"/>
    <w:rsid w:val="0012462A"/>
    <w:rsid w:val="0012463A"/>
    <w:rsid w:val="001246E0"/>
    <w:rsid w:val="0012483E"/>
    <w:rsid w:val="00124844"/>
    <w:rsid w:val="00124ADF"/>
    <w:rsid w:val="00125094"/>
    <w:rsid w:val="001250D5"/>
    <w:rsid w:val="00125186"/>
    <w:rsid w:val="00125219"/>
    <w:rsid w:val="001252C6"/>
    <w:rsid w:val="001254A9"/>
    <w:rsid w:val="001256DB"/>
    <w:rsid w:val="0012573B"/>
    <w:rsid w:val="00125908"/>
    <w:rsid w:val="001259B8"/>
    <w:rsid w:val="00125A05"/>
    <w:rsid w:val="00125C04"/>
    <w:rsid w:val="00125C44"/>
    <w:rsid w:val="00125F6F"/>
    <w:rsid w:val="001261BB"/>
    <w:rsid w:val="0012635B"/>
    <w:rsid w:val="0012663F"/>
    <w:rsid w:val="001267A4"/>
    <w:rsid w:val="001267FB"/>
    <w:rsid w:val="0012690F"/>
    <w:rsid w:val="00126963"/>
    <w:rsid w:val="00126994"/>
    <w:rsid w:val="001269C0"/>
    <w:rsid w:val="00126CA9"/>
    <w:rsid w:val="00126DFD"/>
    <w:rsid w:val="00126EFD"/>
    <w:rsid w:val="00127014"/>
    <w:rsid w:val="001271D0"/>
    <w:rsid w:val="001273D1"/>
    <w:rsid w:val="00127411"/>
    <w:rsid w:val="001274EB"/>
    <w:rsid w:val="00127937"/>
    <w:rsid w:val="00127B36"/>
    <w:rsid w:val="00127BB4"/>
    <w:rsid w:val="00127E2D"/>
    <w:rsid w:val="00127EC9"/>
    <w:rsid w:val="00127F56"/>
    <w:rsid w:val="00127FF3"/>
    <w:rsid w:val="0013002F"/>
    <w:rsid w:val="001301DB"/>
    <w:rsid w:val="0013026A"/>
    <w:rsid w:val="00130577"/>
    <w:rsid w:val="001306B2"/>
    <w:rsid w:val="001306B6"/>
    <w:rsid w:val="00130854"/>
    <w:rsid w:val="00130989"/>
    <w:rsid w:val="00130A30"/>
    <w:rsid w:val="00130CFD"/>
    <w:rsid w:val="00130D57"/>
    <w:rsid w:val="00130DF8"/>
    <w:rsid w:val="00130FF5"/>
    <w:rsid w:val="00131376"/>
    <w:rsid w:val="0013144D"/>
    <w:rsid w:val="001314FE"/>
    <w:rsid w:val="00131563"/>
    <w:rsid w:val="00131585"/>
    <w:rsid w:val="001315DE"/>
    <w:rsid w:val="00131767"/>
    <w:rsid w:val="0013181F"/>
    <w:rsid w:val="00131B57"/>
    <w:rsid w:val="00131C1E"/>
    <w:rsid w:val="00131E0A"/>
    <w:rsid w:val="00131F5D"/>
    <w:rsid w:val="0013205A"/>
    <w:rsid w:val="0013234E"/>
    <w:rsid w:val="001326DD"/>
    <w:rsid w:val="001327BE"/>
    <w:rsid w:val="001329DA"/>
    <w:rsid w:val="00132A28"/>
    <w:rsid w:val="00132EAD"/>
    <w:rsid w:val="00132FD2"/>
    <w:rsid w:val="001330B8"/>
    <w:rsid w:val="00133186"/>
    <w:rsid w:val="001332E3"/>
    <w:rsid w:val="001336AF"/>
    <w:rsid w:val="00133835"/>
    <w:rsid w:val="00133A24"/>
    <w:rsid w:val="00133ADC"/>
    <w:rsid w:val="00133C02"/>
    <w:rsid w:val="00133F16"/>
    <w:rsid w:val="00134159"/>
    <w:rsid w:val="001341F4"/>
    <w:rsid w:val="0013447D"/>
    <w:rsid w:val="0013456C"/>
    <w:rsid w:val="00134714"/>
    <w:rsid w:val="00134727"/>
    <w:rsid w:val="001347FB"/>
    <w:rsid w:val="00134802"/>
    <w:rsid w:val="00134962"/>
    <w:rsid w:val="00134A5A"/>
    <w:rsid w:val="00134A73"/>
    <w:rsid w:val="00134AA9"/>
    <w:rsid w:val="00134B2A"/>
    <w:rsid w:val="00134BB8"/>
    <w:rsid w:val="00134C5A"/>
    <w:rsid w:val="00134E43"/>
    <w:rsid w:val="00134EEC"/>
    <w:rsid w:val="00134F23"/>
    <w:rsid w:val="00134F66"/>
    <w:rsid w:val="00134F95"/>
    <w:rsid w:val="00135162"/>
    <w:rsid w:val="001351BF"/>
    <w:rsid w:val="0013563F"/>
    <w:rsid w:val="00135691"/>
    <w:rsid w:val="00135858"/>
    <w:rsid w:val="001358B6"/>
    <w:rsid w:val="0013593C"/>
    <w:rsid w:val="00135A8E"/>
    <w:rsid w:val="00135DAD"/>
    <w:rsid w:val="00135DE4"/>
    <w:rsid w:val="00135E36"/>
    <w:rsid w:val="00135E68"/>
    <w:rsid w:val="00135EFD"/>
    <w:rsid w:val="00136003"/>
    <w:rsid w:val="0013607E"/>
    <w:rsid w:val="0013619B"/>
    <w:rsid w:val="001361FF"/>
    <w:rsid w:val="0013649C"/>
    <w:rsid w:val="00136532"/>
    <w:rsid w:val="001367FB"/>
    <w:rsid w:val="00136862"/>
    <w:rsid w:val="00136A00"/>
    <w:rsid w:val="00136A40"/>
    <w:rsid w:val="00136B28"/>
    <w:rsid w:val="00136B53"/>
    <w:rsid w:val="00136D17"/>
    <w:rsid w:val="00136DC5"/>
    <w:rsid w:val="00136E1A"/>
    <w:rsid w:val="00136F06"/>
    <w:rsid w:val="00136F66"/>
    <w:rsid w:val="00137176"/>
    <w:rsid w:val="00137522"/>
    <w:rsid w:val="001376A8"/>
    <w:rsid w:val="0013777E"/>
    <w:rsid w:val="001377B8"/>
    <w:rsid w:val="001377D2"/>
    <w:rsid w:val="00137883"/>
    <w:rsid w:val="00137A21"/>
    <w:rsid w:val="00137B87"/>
    <w:rsid w:val="00137BF3"/>
    <w:rsid w:val="00137CE7"/>
    <w:rsid w:val="00137DFA"/>
    <w:rsid w:val="00137E5E"/>
    <w:rsid w:val="00137FF6"/>
    <w:rsid w:val="00140443"/>
    <w:rsid w:val="00140534"/>
    <w:rsid w:val="00140648"/>
    <w:rsid w:val="00140673"/>
    <w:rsid w:val="00140914"/>
    <w:rsid w:val="00140A99"/>
    <w:rsid w:val="00140AC9"/>
    <w:rsid w:val="00140AF2"/>
    <w:rsid w:val="00140EFB"/>
    <w:rsid w:val="001410BD"/>
    <w:rsid w:val="001413E9"/>
    <w:rsid w:val="001415F9"/>
    <w:rsid w:val="0014160E"/>
    <w:rsid w:val="0014166F"/>
    <w:rsid w:val="001416F0"/>
    <w:rsid w:val="001417B8"/>
    <w:rsid w:val="00141859"/>
    <w:rsid w:val="001418B2"/>
    <w:rsid w:val="001418CA"/>
    <w:rsid w:val="00141B1B"/>
    <w:rsid w:val="00141BAE"/>
    <w:rsid w:val="00141BEC"/>
    <w:rsid w:val="00141C55"/>
    <w:rsid w:val="00142064"/>
    <w:rsid w:val="0014228F"/>
    <w:rsid w:val="0014231E"/>
    <w:rsid w:val="0014269E"/>
    <w:rsid w:val="001426D0"/>
    <w:rsid w:val="00142D91"/>
    <w:rsid w:val="00142FE5"/>
    <w:rsid w:val="00143115"/>
    <w:rsid w:val="00143237"/>
    <w:rsid w:val="001437F7"/>
    <w:rsid w:val="0014383C"/>
    <w:rsid w:val="001438DE"/>
    <w:rsid w:val="001439BA"/>
    <w:rsid w:val="00143A00"/>
    <w:rsid w:val="00143A76"/>
    <w:rsid w:val="00143AFB"/>
    <w:rsid w:val="00143B76"/>
    <w:rsid w:val="00143DA6"/>
    <w:rsid w:val="00143FE3"/>
    <w:rsid w:val="0014410B"/>
    <w:rsid w:val="0014412E"/>
    <w:rsid w:val="0014415C"/>
    <w:rsid w:val="001441C3"/>
    <w:rsid w:val="001441C8"/>
    <w:rsid w:val="001441DB"/>
    <w:rsid w:val="001442BC"/>
    <w:rsid w:val="001443D0"/>
    <w:rsid w:val="0014447C"/>
    <w:rsid w:val="0014449F"/>
    <w:rsid w:val="0014472F"/>
    <w:rsid w:val="001447D1"/>
    <w:rsid w:val="001448F9"/>
    <w:rsid w:val="00144D62"/>
    <w:rsid w:val="00144EA4"/>
    <w:rsid w:val="00144FD1"/>
    <w:rsid w:val="001451C8"/>
    <w:rsid w:val="00145CAE"/>
    <w:rsid w:val="00145E53"/>
    <w:rsid w:val="00145EE8"/>
    <w:rsid w:val="0014618B"/>
    <w:rsid w:val="00146502"/>
    <w:rsid w:val="0014669A"/>
    <w:rsid w:val="00146748"/>
    <w:rsid w:val="001467DF"/>
    <w:rsid w:val="00146B01"/>
    <w:rsid w:val="00146B3F"/>
    <w:rsid w:val="00146B7B"/>
    <w:rsid w:val="00146B97"/>
    <w:rsid w:val="00146BEC"/>
    <w:rsid w:val="00146C5F"/>
    <w:rsid w:val="00146C96"/>
    <w:rsid w:val="00146D64"/>
    <w:rsid w:val="00146D96"/>
    <w:rsid w:val="00147029"/>
    <w:rsid w:val="0014718F"/>
    <w:rsid w:val="001471A9"/>
    <w:rsid w:val="001471C0"/>
    <w:rsid w:val="00147739"/>
    <w:rsid w:val="00147742"/>
    <w:rsid w:val="0014782D"/>
    <w:rsid w:val="00147882"/>
    <w:rsid w:val="001479A0"/>
    <w:rsid w:val="001479B8"/>
    <w:rsid w:val="00147D77"/>
    <w:rsid w:val="00147E21"/>
    <w:rsid w:val="00147EB6"/>
    <w:rsid w:val="001500DF"/>
    <w:rsid w:val="00150316"/>
    <w:rsid w:val="0015031F"/>
    <w:rsid w:val="0015067E"/>
    <w:rsid w:val="001507F0"/>
    <w:rsid w:val="00150831"/>
    <w:rsid w:val="00150955"/>
    <w:rsid w:val="00150972"/>
    <w:rsid w:val="00150996"/>
    <w:rsid w:val="00150A21"/>
    <w:rsid w:val="00150A8A"/>
    <w:rsid w:val="00150E53"/>
    <w:rsid w:val="00150E6D"/>
    <w:rsid w:val="00150EB5"/>
    <w:rsid w:val="0015105F"/>
    <w:rsid w:val="001510FC"/>
    <w:rsid w:val="001511C1"/>
    <w:rsid w:val="001512CA"/>
    <w:rsid w:val="001516A3"/>
    <w:rsid w:val="00151979"/>
    <w:rsid w:val="001519C8"/>
    <w:rsid w:val="00151AA7"/>
    <w:rsid w:val="00151BD6"/>
    <w:rsid w:val="00151CBE"/>
    <w:rsid w:val="00151FF1"/>
    <w:rsid w:val="001520D7"/>
    <w:rsid w:val="00152130"/>
    <w:rsid w:val="0015234C"/>
    <w:rsid w:val="00152517"/>
    <w:rsid w:val="00152548"/>
    <w:rsid w:val="00152609"/>
    <w:rsid w:val="00152701"/>
    <w:rsid w:val="00152887"/>
    <w:rsid w:val="001529AE"/>
    <w:rsid w:val="001529DB"/>
    <w:rsid w:val="00152D19"/>
    <w:rsid w:val="00152E6B"/>
    <w:rsid w:val="00152E72"/>
    <w:rsid w:val="00152EA9"/>
    <w:rsid w:val="00152EB6"/>
    <w:rsid w:val="00152EF6"/>
    <w:rsid w:val="00152F05"/>
    <w:rsid w:val="001531E4"/>
    <w:rsid w:val="001531EE"/>
    <w:rsid w:val="001532B7"/>
    <w:rsid w:val="001532E3"/>
    <w:rsid w:val="00153891"/>
    <w:rsid w:val="001538D4"/>
    <w:rsid w:val="00153C0B"/>
    <w:rsid w:val="00153E66"/>
    <w:rsid w:val="00154002"/>
    <w:rsid w:val="0015424A"/>
    <w:rsid w:val="00154265"/>
    <w:rsid w:val="00154314"/>
    <w:rsid w:val="001546C1"/>
    <w:rsid w:val="00154897"/>
    <w:rsid w:val="0015490A"/>
    <w:rsid w:val="001549E4"/>
    <w:rsid w:val="001549EE"/>
    <w:rsid w:val="0015516B"/>
    <w:rsid w:val="001553D3"/>
    <w:rsid w:val="001554A3"/>
    <w:rsid w:val="0015550D"/>
    <w:rsid w:val="00155528"/>
    <w:rsid w:val="0015560C"/>
    <w:rsid w:val="00155654"/>
    <w:rsid w:val="001556C8"/>
    <w:rsid w:val="00155702"/>
    <w:rsid w:val="00155866"/>
    <w:rsid w:val="001558D7"/>
    <w:rsid w:val="00155AE7"/>
    <w:rsid w:val="00155DA0"/>
    <w:rsid w:val="00155FC1"/>
    <w:rsid w:val="001560AF"/>
    <w:rsid w:val="00156160"/>
    <w:rsid w:val="001561EF"/>
    <w:rsid w:val="0015626F"/>
    <w:rsid w:val="0015627B"/>
    <w:rsid w:val="001562C7"/>
    <w:rsid w:val="00156874"/>
    <w:rsid w:val="00156940"/>
    <w:rsid w:val="00156B40"/>
    <w:rsid w:val="00156C7E"/>
    <w:rsid w:val="0015707B"/>
    <w:rsid w:val="00157137"/>
    <w:rsid w:val="0015717B"/>
    <w:rsid w:val="001571D7"/>
    <w:rsid w:val="00157250"/>
    <w:rsid w:val="001575E5"/>
    <w:rsid w:val="0015768E"/>
    <w:rsid w:val="00157964"/>
    <w:rsid w:val="001579BD"/>
    <w:rsid w:val="00157B43"/>
    <w:rsid w:val="00157D56"/>
    <w:rsid w:val="00157DBA"/>
    <w:rsid w:val="00157EE2"/>
    <w:rsid w:val="00157F98"/>
    <w:rsid w:val="0016012E"/>
    <w:rsid w:val="001602CA"/>
    <w:rsid w:val="00160419"/>
    <w:rsid w:val="0016056B"/>
    <w:rsid w:val="00160815"/>
    <w:rsid w:val="00160B11"/>
    <w:rsid w:val="00160DBA"/>
    <w:rsid w:val="001610C4"/>
    <w:rsid w:val="0016118E"/>
    <w:rsid w:val="0016140C"/>
    <w:rsid w:val="0016151E"/>
    <w:rsid w:val="001615A3"/>
    <w:rsid w:val="00161884"/>
    <w:rsid w:val="001618DB"/>
    <w:rsid w:val="00161A0E"/>
    <w:rsid w:val="00161B45"/>
    <w:rsid w:val="00161C6C"/>
    <w:rsid w:val="00161ED4"/>
    <w:rsid w:val="00161F7C"/>
    <w:rsid w:val="0016209E"/>
    <w:rsid w:val="00162642"/>
    <w:rsid w:val="001626F0"/>
    <w:rsid w:val="00162AAF"/>
    <w:rsid w:val="00162C79"/>
    <w:rsid w:val="00162F60"/>
    <w:rsid w:val="00162F65"/>
    <w:rsid w:val="0016306D"/>
    <w:rsid w:val="00163229"/>
    <w:rsid w:val="00163291"/>
    <w:rsid w:val="00163845"/>
    <w:rsid w:val="00163A18"/>
    <w:rsid w:val="00163D44"/>
    <w:rsid w:val="00163F46"/>
    <w:rsid w:val="00163FB0"/>
    <w:rsid w:val="00164021"/>
    <w:rsid w:val="00164676"/>
    <w:rsid w:val="001648D3"/>
    <w:rsid w:val="001649AE"/>
    <w:rsid w:val="00164F51"/>
    <w:rsid w:val="001652E6"/>
    <w:rsid w:val="0016547E"/>
    <w:rsid w:val="001657B0"/>
    <w:rsid w:val="001657B5"/>
    <w:rsid w:val="001657B7"/>
    <w:rsid w:val="00165931"/>
    <w:rsid w:val="00165D07"/>
    <w:rsid w:val="00165D1B"/>
    <w:rsid w:val="00166009"/>
    <w:rsid w:val="001662C4"/>
    <w:rsid w:val="001662F6"/>
    <w:rsid w:val="00166371"/>
    <w:rsid w:val="001666EF"/>
    <w:rsid w:val="001667F9"/>
    <w:rsid w:val="00166986"/>
    <w:rsid w:val="00166B39"/>
    <w:rsid w:val="00166BC3"/>
    <w:rsid w:val="00166BF1"/>
    <w:rsid w:val="00166F42"/>
    <w:rsid w:val="0016713E"/>
    <w:rsid w:val="00167326"/>
    <w:rsid w:val="001675F3"/>
    <w:rsid w:val="00167670"/>
    <w:rsid w:val="001678D1"/>
    <w:rsid w:val="001679D6"/>
    <w:rsid w:val="001679FF"/>
    <w:rsid w:val="00167A79"/>
    <w:rsid w:val="00167B67"/>
    <w:rsid w:val="00167C97"/>
    <w:rsid w:val="00167E03"/>
    <w:rsid w:val="00170273"/>
    <w:rsid w:val="0017047E"/>
    <w:rsid w:val="0017057F"/>
    <w:rsid w:val="001705FD"/>
    <w:rsid w:val="001705FF"/>
    <w:rsid w:val="001706E4"/>
    <w:rsid w:val="0017076D"/>
    <w:rsid w:val="001707C2"/>
    <w:rsid w:val="001708C5"/>
    <w:rsid w:val="001708C7"/>
    <w:rsid w:val="00170CFF"/>
    <w:rsid w:val="00170D1D"/>
    <w:rsid w:val="00170F05"/>
    <w:rsid w:val="001711E7"/>
    <w:rsid w:val="00171202"/>
    <w:rsid w:val="001715E7"/>
    <w:rsid w:val="0017166A"/>
    <w:rsid w:val="00171679"/>
    <w:rsid w:val="001716D0"/>
    <w:rsid w:val="00171730"/>
    <w:rsid w:val="001717A2"/>
    <w:rsid w:val="001717D2"/>
    <w:rsid w:val="00171BF6"/>
    <w:rsid w:val="00171C6B"/>
    <w:rsid w:val="00171DDD"/>
    <w:rsid w:val="00171DFE"/>
    <w:rsid w:val="00171E01"/>
    <w:rsid w:val="00171F1F"/>
    <w:rsid w:val="00171F37"/>
    <w:rsid w:val="00171FB2"/>
    <w:rsid w:val="0017202D"/>
    <w:rsid w:val="00172107"/>
    <w:rsid w:val="001721EE"/>
    <w:rsid w:val="0017223E"/>
    <w:rsid w:val="0017239F"/>
    <w:rsid w:val="00172440"/>
    <w:rsid w:val="00172459"/>
    <w:rsid w:val="0017261F"/>
    <w:rsid w:val="00172654"/>
    <w:rsid w:val="00172756"/>
    <w:rsid w:val="00172920"/>
    <w:rsid w:val="0017293D"/>
    <w:rsid w:val="00172A2B"/>
    <w:rsid w:val="00172BB5"/>
    <w:rsid w:val="00172C9C"/>
    <w:rsid w:val="00172CCA"/>
    <w:rsid w:val="00172CED"/>
    <w:rsid w:val="00172D68"/>
    <w:rsid w:val="0017319C"/>
    <w:rsid w:val="001733DC"/>
    <w:rsid w:val="001733EB"/>
    <w:rsid w:val="00173499"/>
    <w:rsid w:val="00173824"/>
    <w:rsid w:val="00173897"/>
    <w:rsid w:val="00173AC1"/>
    <w:rsid w:val="00173BCE"/>
    <w:rsid w:val="00173D86"/>
    <w:rsid w:val="00173E0E"/>
    <w:rsid w:val="00173F6C"/>
    <w:rsid w:val="00173FE5"/>
    <w:rsid w:val="0017405E"/>
    <w:rsid w:val="001740DD"/>
    <w:rsid w:val="001741AA"/>
    <w:rsid w:val="001744A5"/>
    <w:rsid w:val="00174771"/>
    <w:rsid w:val="00174E35"/>
    <w:rsid w:val="00174ECC"/>
    <w:rsid w:val="0017534C"/>
    <w:rsid w:val="00175431"/>
    <w:rsid w:val="00175478"/>
    <w:rsid w:val="0017550E"/>
    <w:rsid w:val="0017553F"/>
    <w:rsid w:val="001756B2"/>
    <w:rsid w:val="0017595C"/>
    <w:rsid w:val="00175CCC"/>
    <w:rsid w:val="00175DE3"/>
    <w:rsid w:val="00176526"/>
    <w:rsid w:val="00176994"/>
    <w:rsid w:val="001769EE"/>
    <w:rsid w:val="00176A52"/>
    <w:rsid w:val="00176A75"/>
    <w:rsid w:val="00176B1C"/>
    <w:rsid w:val="00176B7C"/>
    <w:rsid w:val="00176BEC"/>
    <w:rsid w:val="00176CD0"/>
    <w:rsid w:val="00176D3E"/>
    <w:rsid w:val="00176D8F"/>
    <w:rsid w:val="00176DDB"/>
    <w:rsid w:val="0017701E"/>
    <w:rsid w:val="00177210"/>
    <w:rsid w:val="001772B6"/>
    <w:rsid w:val="0017735A"/>
    <w:rsid w:val="001773C2"/>
    <w:rsid w:val="00177448"/>
    <w:rsid w:val="001774EB"/>
    <w:rsid w:val="00177751"/>
    <w:rsid w:val="00177797"/>
    <w:rsid w:val="001778AA"/>
    <w:rsid w:val="00177A12"/>
    <w:rsid w:val="00177A1A"/>
    <w:rsid w:val="00177A48"/>
    <w:rsid w:val="00177B98"/>
    <w:rsid w:val="00177CC7"/>
    <w:rsid w:val="00177DC4"/>
    <w:rsid w:val="00177E31"/>
    <w:rsid w:val="00177E3A"/>
    <w:rsid w:val="00177E69"/>
    <w:rsid w:val="001801A1"/>
    <w:rsid w:val="001801D8"/>
    <w:rsid w:val="001804A7"/>
    <w:rsid w:val="001806CC"/>
    <w:rsid w:val="00180781"/>
    <w:rsid w:val="0018093B"/>
    <w:rsid w:val="0018094E"/>
    <w:rsid w:val="00180A2C"/>
    <w:rsid w:val="00180B3D"/>
    <w:rsid w:val="00180D61"/>
    <w:rsid w:val="00180FDE"/>
    <w:rsid w:val="00181012"/>
    <w:rsid w:val="001812CC"/>
    <w:rsid w:val="00181431"/>
    <w:rsid w:val="0018156F"/>
    <w:rsid w:val="001816DA"/>
    <w:rsid w:val="001817E9"/>
    <w:rsid w:val="00181871"/>
    <w:rsid w:val="00181890"/>
    <w:rsid w:val="00181C3D"/>
    <w:rsid w:val="00181D72"/>
    <w:rsid w:val="0018203D"/>
    <w:rsid w:val="0018217F"/>
    <w:rsid w:val="00182295"/>
    <w:rsid w:val="0018236B"/>
    <w:rsid w:val="001823AE"/>
    <w:rsid w:val="00182612"/>
    <w:rsid w:val="001827F6"/>
    <w:rsid w:val="00182A40"/>
    <w:rsid w:val="00182D10"/>
    <w:rsid w:val="00182E90"/>
    <w:rsid w:val="00182F96"/>
    <w:rsid w:val="001830FD"/>
    <w:rsid w:val="00183103"/>
    <w:rsid w:val="001832E6"/>
    <w:rsid w:val="0018337C"/>
    <w:rsid w:val="001834C3"/>
    <w:rsid w:val="001836F5"/>
    <w:rsid w:val="001839E1"/>
    <w:rsid w:val="00183D37"/>
    <w:rsid w:val="00184039"/>
    <w:rsid w:val="0018423D"/>
    <w:rsid w:val="001842B6"/>
    <w:rsid w:val="0018452B"/>
    <w:rsid w:val="001846EC"/>
    <w:rsid w:val="00184708"/>
    <w:rsid w:val="00184779"/>
    <w:rsid w:val="00184797"/>
    <w:rsid w:val="00184966"/>
    <w:rsid w:val="00184D7C"/>
    <w:rsid w:val="00184D80"/>
    <w:rsid w:val="00184D87"/>
    <w:rsid w:val="00184E94"/>
    <w:rsid w:val="00184EB8"/>
    <w:rsid w:val="00184F80"/>
    <w:rsid w:val="00184FCA"/>
    <w:rsid w:val="00185081"/>
    <w:rsid w:val="001852C8"/>
    <w:rsid w:val="00185326"/>
    <w:rsid w:val="0018544C"/>
    <w:rsid w:val="001854BF"/>
    <w:rsid w:val="001857B4"/>
    <w:rsid w:val="00185AC8"/>
    <w:rsid w:val="00185BB2"/>
    <w:rsid w:val="00185D79"/>
    <w:rsid w:val="00185FCB"/>
    <w:rsid w:val="0018601D"/>
    <w:rsid w:val="00186394"/>
    <w:rsid w:val="001864CB"/>
    <w:rsid w:val="00186814"/>
    <w:rsid w:val="0018691C"/>
    <w:rsid w:val="00186B06"/>
    <w:rsid w:val="00186CC0"/>
    <w:rsid w:val="00186E46"/>
    <w:rsid w:val="00186F99"/>
    <w:rsid w:val="001871A6"/>
    <w:rsid w:val="001872E0"/>
    <w:rsid w:val="00187486"/>
    <w:rsid w:val="0018767F"/>
    <w:rsid w:val="001876B7"/>
    <w:rsid w:val="00187791"/>
    <w:rsid w:val="001878A3"/>
    <w:rsid w:val="00187DFB"/>
    <w:rsid w:val="00190070"/>
    <w:rsid w:val="00190124"/>
    <w:rsid w:val="00190178"/>
    <w:rsid w:val="00190562"/>
    <w:rsid w:val="00190E2F"/>
    <w:rsid w:val="001917C0"/>
    <w:rsid w:val="001917CA"/>
    <w:rsid w:val="001918FF"/>
    <w:rsid w:val="00191A15"/>
    <w:rsid w:val="00191D7C"/>
    <w:rsid w:val="001921EC"/>
    <w:rsid w:val="001922C1"/>
    <w:rsid w:val="001925E1"/>
    <w:rsid w:val="00192664"/>
    <w:rsid w:val="00192695"/>
    <w:rsid w:val="0019272B"/>
    <w:rsid w:val="00192842"/>
    <w:rsid w:val="00192967"/>
    <w:rsid w:val="00192A09"/>
    <w:rsid w:val="00192A76"/>
    <w:rsid w:val="00192BBB"/>
    <w:rsid w:val="00192C5F"/>
    <w:rsid w:val="00192CD4"/>
    <w:rsid w:val="00192E9C"/>
    <w:rsid w:val="00192EEF"/>
    <w:rsid w:val="00193003"/>
    <w:rsid w:val="001930AD"/>
    <w:rsid w:val="001932F4"/>
    <w:rsid w:val="0019334A"/>
    <w:rsid w:val="001933D0"/>
    <w:rsid w:val="00193662"/>
    <w:rsid w:val="00193774"/>
    <w:rsid w:val="0019387B"/>
    <w:rsid w:val="001939BA"/>
    <w:rsid w:val="00193E5D"/>
    <w:rsid w:val="00193F20"/>
    <w:rsid w:val="00194097"/>
    <w:rsid w:val="00194101"/>
    <w:rsid w:val="00194392"/>
    <w:rsid w:val="00194440"/>
    <w:rsid w:val="00194462"/>
    <w:rsid w:val="00194639"/>
    <w:rsid w:val="001949A4"/>
    <w:rsid w:val="00194B92"/>
    <w:rsid w:val="00194BAE"/>
    <w:rsid w:val="00194CC5"/>
    <w:rsid w:val="00194D76"/>
    <w:rsid w:val="00194E31"/>
    <w:rsid w:val="001954DA"/>
    <w:rsid w:val="001956D7"/>
    <w:rsid w:val="001956F1"/>
    <w:rsid w:val="00195744"/>
    <w:rsid w:val="001957AE"/>
    <w:rsid w:val="001958B8"/>
    <w:rsid w:val="00195A8A"/>
    <w:rsid w:val="00195C63"/>
    <w:rsid w:val="00195C93"/>
    <w:rsid w:val="00195CCD"/>
    <w:rsid w:val="00195DF8"/>
    <w:rsid w:val="00195E33"/>
    <w:rsid w:val="00195EE1"/>
    <w:rsid w:val="00195FA8"/>
    <w:rsid w:val="001960B5"/>
    <w:rsid w:val="001961D2"/>
    <w:rsid w:val="0019632B"/>
    <w:rsid w:val="0019663A"/>
    <w:rsid w:val="00196774"/>
    <w:rsid w:val="0019696C"/>
    <w:rsid w:val="00196A3C"/>
    <w:rsid w:val="00196CD9"/>
    <w:rsid w:val="00196DDC"/>
    <w:rsid w:val="00196E6C"/>
    <w:rsid w:val="001970A6"/>
    <w:rsid w:val="00197542"/>
    <w:rsid w:val="001975CC"/>
    <w:rsid w:val="0019773A"/>
    <w:rsid w:val="0019783B"/>
    <w:rsid w:val="0019791D"/>
    <w:rsid w:val="00197B9E"/>
    <w:rsid w:val="00197C66"/>
    <w:rsid w:val="00197C83"/>
    <w:rsid w:val="00197DD3"/>
    <w:rsid w:val="00197DD4"/>
    <w:rsid w:val="00197F81"/>
    <w:rsid w:val="001A024E"/>
    <w:rsid w:val="001A03DD"/>
    <w:rsid w:val="001A0466"/>
    <w:rsid w:val="001A047A"/>
    <w:rsid w:val="001A0557"/>
    <w:rsid w:val="001A05B3"/>
    <w:rsid w:val="001A05BA"/>
    <w:rsid w:val="001A0823"/>
    <w:rsid w:val="001A086B"/>
    <w:rsid w:val="001A0A5A"/>
    <w:rsid w:val="001A0E29"/>
    <w:rsid w:val="001A0F96"/>
    <w:rsid w:val="001A0FC0"/>
    <w:rsid w:val="001A1308"/>
    <w:rsid w:val="001A137F"/>
    <w:rsid w:val="001A1645"/>
    <w:rsid w:val="001A16C1"/>
    <w:rsid w:val="001A1781"/>
    <w:rsid w:val="001A197A"/>
    <w:rsid w:val="001A1B87"/>
    <w:rsid w:val="001A1DC7"/>
    <w:rsid w:val="001A2022"/>
    <w:rsid w:val="001A2207"/>
    <w:rsid w:val="001A226A"/>
    <w:rsid w:val="001A22B4"/>
    <w:rsid w:val="001A2395"/>
    <w:rsid w:val="001A23A4"/>
    <w:rsid w:val="001A243E"/>
    <w:rsid w:val="001A2456"/>
    <w:rsid w:val="001A2554"/>
    <w:rsid w:val="001A25CC"/>
    <w:rsid w:val="001A281C"/>
    <w:rsid w:val="001A2AD0"/>
    <w:rsid w:val="001A2C11"/>
    <w:rsid w:val="001A2C8E"/>
    <w:rsid w:val="001A2DEF"/>
    <w:rsid w:val="001A3232"/>
    <w:rsid w:val="001A32BA"/>
    <w:rsid w:val="001A33F6"/>
    <w:rsid w:val="001A35E3"/>
    <w:rsid w:val="001A3699"/>
    <w:rsid w:val="001A3819"/>
    <w:rsid w:val="001A38AF"/>
    <w:rsid w:val="001A407C"/>
    <w:rsid w:val="001A41FD"/>
    <w:rsid w:val="001A4220"/>
    <w:rsid w:val="001A43A6"/>
    <w:rsid w:val="001A459A"/>
    <w:rsid w:val="001A480E"/>
    <w:rsid w:val="001A486F"/>
    <w:rsid w:val="001A496A"/>
    <w:rsid w:val="001A4A49"/>
    <w:rsid w:val="001A4D32"/>
    <w:rsid w:val="001A4E91"/>
    <w:rsid w:val="001A4E9C"/>
    <w:rsid w:val="001A4F6F"/>
    <w:rsid w:val="001A4FA3"/>
    <w:rsid w:val="001A50CC"/>
    <w:rsid w:val="001A510D"/>
    <w:rsid w:val="001A517B"/>
    <w:rsid w:val="001A5448"/>
    <w:rsid w:val="001A574F"/>
    <w:rsid w:val="001A5ECF"/>
    <w:rsid w:val="001A5F9D"/>
    <w:rsid w:val="001A61CE"/>
    <w:rsid w:val="001A62EF"/>
    <w:rsid w:val="001A63FB"/>
    <w:rsid w:val="001A67A3"/>
    <w:rsid w:val="001A686D"/>
    <w:rsid w:val="001A6E25"/>
    <w:rsid w:val="001A70A1"/>
    <w:rsid w:val="001A70FB"/>
    <w:rsid w:val="001A7129"/>
    <w:rsid w:val="001A7144"/>
    <w:rsid w:val="001A72A4"/>
    <w:rsid w:val="001A735A"/>
    <w:rsid w:val="001A735B"/>
    <w:rsid w:val="001A7372"/>
    <w:rsid w:val="001A7500"/>
    <w:rsid w:val="001A772F"/>
    <w:rsid w:val="001A77E9"/>
    <w:rsid w:val="001A7844"/>
    <w:rsid w:val="001A7954"/>
    <w:rsid w:val="001A7A0C"/>
    <w:rsid w:val="001A7BC4"/>
    <w:rsid w:val="001A7C90"/>
    <w:rsid w:val="001A7CD9"/>
    <w:rsid w:val="001B003E"/>
    <w:rsid w:val="001B0098"/>
    <w:rsid w:val="001B0177"/>
    <w:rsid w:val="001B024F"/>
    <w:rsid w:val="001B0369"/>
    <w:rsid w:val="001B0578"/>
    <w:rsid w:val="001B067C"/>
    <w:rsid w:val="001B0781"/>
    <w:rsid w:val="001B0895"/>
    <w:rsid w:val="001B09D5"/>
    <w:rsid w:val="001B0BD9"/>
    <w:rsid w:val="001B0D75"/>
    <w:rsid w:val="001B0EC2"/>
    <w:rsid w:val="001B0F21"/>
    <w:rsid w:val="001B10EA"/>
    <w:rsid w:val="001B1462"/>
    <w:rsid w:val="001B1633"/>
    <w:rsid w:val="001B1764"/>
    <w:rsid w:val="001B17D7"/>
    <w:rsid w:val="001B1959"/>
    <w:rsid w:val="001B1A98"/>
    <w:rsid w:val="001B1ABC"/>
    <w:rsid w:val="001B1D09"/>
    <w:rsid w:val="001B1D8E"/>
    <w:rsid w:val="001B1EAE"/>
    <w:rsid w:val="001B1F2A"/>
    <w:rsid w:val="001B1F31"/>
    <w:rsid w:val="001B1F72"/>
    <w:rsid w:val="001B217F"/>
    <w:rsid w:val="001B224D"/>
    <w:rsid w:val="001B23C6"/>
    <w:rsid w:val="001B248D"/>
    <w:rsid w:val="001B29BF"/>
    <w:rsid w:val="001B2A01"/>
    <w:rsid w:val="001B2A94"/>
    <w:rsid w:val="001B2AEF"/>
    <w:rsid w:val="001B2B03"/>
    <w:rsid w:val="001B2C21"/>
    <w:rsid w:val="001B2E7D"/>
    <w:rsid w:val="001B3097"/>
    <w:rsid w:val="001B30F9"/>
    <w:rsid w:val="001B32D4"/>
    <w:rsid w:val="001B3706"/>
    <w:rsid w:val="001B3761"/>
    <w:rsid w:val="001B3775"/>
    <w:rsid w:val="001B3844"/>
    <w:rsid w:val="001B3886"/>
    <w:rsid w:val="001B3BC1"/>
    <w:rsid w:val="001B3BFB"/>
    <w:rsid w:val="001B4071"/>
    <w:rsid w:val="001B4693"/>
    <w:rsid w:val="001B46B3"/>
    <w:rsid w:val="001B4A0E"/>
    <w:rsid w:val="001B4A6A"/>
    <w:rsid w:val="001B4AFD"/>
    <w:rsid w:val="001B4C11"/>
    <w:rsid w:val="001B4F04"/>
    <w:rsid w:val="001B4FE8"/>
    <w:rsid w:val="001B519F"/>
    <w:rsid w:val="001B51F9"/>
    <w:rsid w:val="001B53E4"/>
    <w:rsid w:val="001B5472"/>
    <w:rsid w:val="001B54F2"/>
    <w:rsid w:val="001B5735"/>
    <w:rsid w:val="001B57E1"/>
    <w:rsid w:val="001B58F7"/>
    <w:rsid w:val="001B5B09"/>
    <w:rsid w:val="001B5B40"/>
    <w:rsid w:val="001B5D00"/>
    <w:rsid w:val="001B5E86"/>
    <w:rsid w:val="001B5F73"/>
    <w:rsid w:val="001B6094"/>
    <w:rsid w:val="001B6115"/>
    <w:rsid w:val="001B6174"/>
    <w:rsid w:val="001B61FF"/>
    <w:rsid w:val="001B6393"/>
    <w:rsid w:val="001B6548"/>
    <w:rsid w:val="001B656E"/>
    <w:rsid w:val="001B6584"/>
    <w:rsid w:val="001B66ED"/>
    <w:rsid w:val="001B6799"/>
    <w:rsid w:val="001B6C0D"/>
    <w:rsid w:val="001B6CAF"/>
    <w:rsid w:val="001B6CCF"/>
    <w:rsid w:val="001B7170"/>
    <w:rsid w:val="001B71BA"/>
    <w:rsid w:val="001B732F"/>
    <w:rsid w:val="001B7424"/>
    <w:rsid w:val="001B746E"/>
    <w:rsid w:val="001B773B"/>
    <w:rsid w:val="001B774A"/>
    <w:rsid w:val="001B786B"/>
    <w:rsid w:val="001B78B4"/>
    <w:rsid w:val="001B78FB"/>
    <w:rsid w:val="001B79A9"/>
    <w:rsid w:val="001B7B7C"/>
    <w:rsid w:val="001B7D37"/>
    <w:rsid w:val="001B7DE1"/>
    <w:rsid w:val="001C0049"/>
    <w:rsid w:val="001C00F6"/>
    <w:rsid w:val="001C01DC"/>
    <w:rsid w:val="001C0225"/>
    <w:rsid w:val="001C0484"/>
    <w:rsid w:val="001C0602"/>
    <w:rsid w:val="001C0626"/>
    <w:rsid w:val="001C0840"/>
    <w:rsid w:val="001C0880"/>
    <w:rsid w:val="001C0BF7"/>
    <w:rsid w:val="001C0F0E"/>
    <w:rsid w:val="001C0F6B"/>
    <w:rsid w:val="001C1246"/>
    <w:rsid w:val="001C12B2"/>
    <w:rsid w:val="001C12E7"/>
    <w:rsid w:val="001C15C6"/>
    <w:rsid w:val="001C1662"/>
    <w:rsid w:val="001C172E"/>
    <w:rsid w:val="001C186A"/>
    <w:rsid w:val="001C19EF"/>
    <w:rsid w:val="001C1F4D"/>
    <w:rsid w:val="001C1FCD"/>
    <w:rsid w:val="001C2073"/>
    <w:rsid w:val="001C20A9"/>
    <w:rsid w:val="001C20DE"/>
    <w:rsid w:val="001C21A4"/>
    <w:rsid w:val="001C228F"/>
    <w:rsid w:val="001C234B"/>
    <w:rsid w:val="001C24D5"/>
    <w:rsid w:val="001C2643"/>
    <w:rsid w:val="001C2697"/>
    <w:rsid w:val="001C26D0"/>
    <w:rsid w:val="001C2701"/>
    <w:rsid w:val="001C276D"/>
    <w:rsid w:val="001C277F"/>
    <w:rsid w:val="001C2C6C"/>
    <w:rsid w:val="001C2CF6"/>
    <w:rsid w:val="001C3142"/>
    <w:rsid w:val="001C3268"/>
    <w:rsid w:val="001C3577"/>
    <w:rsid w:val="001C36C7"/>
    <w:rsid w:val="001C386C"/>
    <w:rsid w:val="001C3913"/>
    <w:rsid w:val="001C39B3"/>
    <w:rsid w:val="001C3B8B"/>
    <w:rsid w:val="001C3D56"/>
    <w:rsid w:val="001C3D7B"/>
    <w:rsid w:val="001C3DAA"/>
    <w:rsid w:val="001C3E0F"/>
    <w:rsid w:val="001C413D"/>
    <w:rsid w:val="001C41AF"/>
    <w:rsid w:val="001C441D"/>
    <w:rsid w:val="001C4D8D"/>
    <w:rsid w:val="001C4EC8"/>
    <w:rsid w:val="001C4F87"/>
    <w:rsid w:val="001C51A7"/>
    <w:rsid w:val="001C5364"/>
    <w:rsid w:val="001C565D"/>
    <w:rsid w:val="001C59EB"/>
    <w:rsid w:val="001C5B3E"/>
    <w:rsid w:val="001C5F64"/>
    <w:rsid w:val="001C63B9"/>
    <w:rsid w:val="001C63D0"/>
    <w:rsid w:val="001C67DF"/>
    <w:rsid w:val="001C67E2"/>
    <w:rsid w:val="001C6889"/>
    <w:rsid w:val="001C6A64"/>
    <w:rsid w:val="001C6BF0"/>
    <w:rsid w:val="001C705D"/>
    <w:rsid w:val="001C70DD"/>
    <w:rsid w:val="001C723E"/>
    <w:rsid w:val="001C726A"/>
    <w:rsid w:val="001C7318"/>
    <w:rsid w:val="001C73AC"/>
    <w:rsid w:val="001C7499"/>
    <w:rsid w:val="001C75CC"/>
    <w:rsid w:val="001C76A8"/>
    <w:rsid w:val="001C7714"/>
    <w:rsid w:val="001C7759"/>
    <w:rsid w:val="001C77F5"/>
    <w:rsid w:val="001C78DD"/>
    <w:rsid w:val="001C78FE"/>
    <w:rsid w:val="001C7967"/>
    <w:rsid w:val="001C79CD"/>
    <w:rsid w:val="001C7A8E"/>
    <w:rsid w:val="001C7E8D"/>
    <w:rsid w:val="001C7EF1"/>
    <w:rsid w:val="001D0040"/>
    <w:rsid w:val="001D01AC"/>
    <w:rsid w:val="001D01B1"/>
    <w:rsid w:val="001D0212"/>
    <w:rsid w:val="001D027E"/>
    <w:rsid w:val="001D02BB"/>
    <w:rsid w:val="001D0587"/>
    <w:rsid w:val="001D06F6"/>
    <w:rsid w:val="001D096C"/>
    <w:rsid w:val="001D0BE3"/>
    <w:rsid w:val="001D0CC6"/>
    <w:rsid w:val="001D0F27"/>
    <w:rsid w:val="001D0F34"/>
    <w:rsid w:val="001D1056"/>
    <w:rsid w:val="001D108A"/>
    <w:rsid w:val="001D1807"/>
    <w:rsid w:val="001D1882"/>
    <w:rsid w:val="001D1956"/>
    <w:rsid w:val="001D1C50"/>
    <w:rsid w:val="001D2269"/>
    <w:rsid w:val="001D2328"/>
    <w:rsid w:val="001D235E"/>
    <w:rsid w:val="001D24D0"/>
    <w:rsid w:val="001D2531"/>
    <w:rsid w:val="001D25B5"/>
    <w:rsid w:val="001D2628"/>
    <w:rsid w:val="001D276C"/>
    <w:rsid w:val="001D282A"/>
    <w:rsid w:val="001D298F"/>
    <w:rsid w:val="001D2B26"/>
    <w:rsid w:val="001D2C01"/>
    <w:rsid w:val="001D2EE0"/>
    <w:rsid w:val="001D2F17"/>
    <w:rsid w:val="001D2FA1"/>
    <w:rsid w:val="001D3269"/>
    <w:rsid w:val="001D3339"/>
    <w:rsid w:val="001D3486"/>
    <w:rsid w:val="001D353B"/>
    <w:rsid w:val="001D3608"/>
    <w:rsid w:val="001D379C"/>
    <w:rsid w:val="001D3959"/>
    <w:rsid w:val="001D39BC"/>
    <w:rsid w:val="001D3C5E"/>
    <w:rsid w:val="001D3C8B"/>
    <w:rsid w:val="001D3DF7"/>
    <w:rsid w:val="001D407B"/>
    <w:rsid w:val="001D41D0"/>
    <w:rsid w:val="001D4339"/>
    <w:rsid w:val="001D4843"/>
    <w:rsid w:val="001D48C3"/>
    <w:rsid w:val="001D4923"/>
    <w:rsid w:val="001D4927"/>
    <w:rsid w:val="001D4B38"/>
    <w:rsid w:val="001D4BDE"/>
    <w:rsid w:val="001D4FFA"/>
    <w:rsid w:val="001D5223"/>
    <w:rsid w:val="001D549D"/>
    <w:rsid w:val="001D5780"/>
    <w:rsid w:val="001D590B"/>
    <w:rsid w:val="001D5994"/>
    <w:rsid w:val="001D5A18"/>
    <w:rsid w:val="001D5BE9"/>
    <w:rsid w:val="001D5E6C"/>
    <w:rsid w:val="001D5E7D"/>
    <w:rsid w:val="001D5F3C"/>
    <w:rsid w:val="001D5FC7"/>
    <w:rsid w:val="001D6039"/>
    <w:rsid w:val="001D616A"/>
    <w:rsid w:val="001D63BF"/>
    <w:rsid w:val="001D6402"/>
    <w:rsid w:val="001D6416"/>
    <w:rsid w:val="001D6534"/>
    <w:rsid w:val="001D65DD"/>
    <w:rsid w:val="001D65E5"/>
    <w:rsid w:val="001D665D"/>
    <w:rsid w:val="001D66BD"/>
    <w:rsid w:val="001D66D0"/>
    <w:rsid w:val="001D676D"/>
    <w:rsid w:val="001D6CE2"/>
    <w:rsid w:val="001D6DBA"/>
    <w:rsid w:val="001D6E87"/>
    <w:rsid w:val="001D700E"/>
    <w:rsid w:val="001D7099"/>
    <w:rsid w:val="001D736C"/>
    <w:rsid w:val="001D74DD"/>
    <w:rsid w:val="001D7683"/>
    <w:rsid w:val="001D7779"/>
    <w:rsid w:val="001D7837"/>
    <w:rsid w:val="001D78C2"/>
    <w:rsid w:val="001D7B93"/>
    <w:rsid w:val="001D7D7C"/>
    <w:rsid w:val="001D7DDD"/>
    <w:rsid w:val="001D7F59"/>
    <w:rsid w:val="001E02D5"/>
    <w:rsid w:val="001E0428"/>
    <w:rsid w:val="001E0470"/>
    <w:rsid w:val="001E04C6"/>
    <w:rsid w:val="001E073E"/>
    <w:rsid w:val="001E0B21"/>
    <w:rsid w:val="001E0C47"/>
    <w:rsid w:val="001E0C93"/>
    <w:rsid w:val="001E0CE4"/>
    <w:rsid w:val="001E0D13"/>
    <w:rsid w:val="001E0E8F"/>
    <w:rsid w:val="001E102A"/>
    <w:rsid w:val="001E1044"/>
    <w:rsid w:val="001E1117"/>
    <w:rsid w:val="001E1249"/>
    <w:rsid w:val="001E16BE"/>
    <w:rsid w:val="001E16D2"/>
    <w:rsid w:val="001E17EC"/>
    <w:rsid w:val="001E180E"/>
    <w:rsid w:val="001E19A1"/>
    <w:rsid w:val="001E1F21"/>
    <w:rsid w:val="001E2159"/>
    <w:rsid w:val="001E2417"/>
    <w:rsid w:val="001E24B1"/>
    <w:rsid w:val="001E270B"/>
    <w:rsid w:val="001E286F"/>
    <w:rsid w:val="001E291A"/>
    <w:rsid w:val="001E2946"/>
    <w:rsid w:val="001E2B2B"/>
    <w:rsid w:val="001E2E58"/>
    <w:rsid w:val="001E2EC9"/>
    <w:rsid w:val="001E30C6"/>
    <w:rsid w:val="001E324A"/>
    <w:rsid w:val="001E32D2"/>
    <w:rsid w:val="001E33B9"/>
    <w:rsid w:val="001E33F7"/>
    <w:rsid w:val="001E352C"/>
    <w:rsid w:val="001E3BAE"/>
    <w:rsid w:val="001E3DC7"/>
    <w:rsid w:val="001E41A1"/>
    <w:rsid w:val="001E4733"/>
    <w:rsid w:val="001E49D7"/>
    <w:rsid w:val="001E4A3E"/>
    <w:rsid w:val="001E4AB3"/>
    <w:rsid w:val="001E4B0F"/>
    <w:rsid w:val="001E4B33"/>
    <w:rsid w:val="001E4B8F"/>
    <w:rsid w:val="001E4D2E"/>
    <w:rsid w:val="001E4DAB"/>
    <w:rsid w:val="001E4DEA"/>
    <w:rsid w:val="001E5302"/>
    <w:rsid w:val="001E5480"/>
    <w:rsid w:val="001E5777"/>
    <w:rsid w:val="001E5865"/>
    <w:rsid w:val="001E5AD9"/>
    <w:rsid w:val="001E5DA5"/>
    <w:rsid w:val="001E5DE7"/>
    <w:rsid w:val="001E5E25"/>
    <w:rsid w:val="001E608A"/>
    <w:rsid w:val="001E60AA"/>
    <w:rsid w:val="001E641E"/>
    <w:rsid w:val="001E652C"/>
    <w:rsid w:val="001E65F2"/>
    <w:rsid w:val="001E66B0"/>
    <w:rsid w:val="001E6A7B"/>
    <w:rsid w:val="001E6B77"/>
    <w:rsid w:val="001E6C01"/>
    <w:rsid w:val="001E6CE4"/>
    <w:rsid w:val="001E6DB6"/>
    <w:rsid w:val="001E6F4B"/>
    <w:rsid w:val="001E7164"/>
    <w:rsid w:val="001E721F"/>
    <w:rsid w:val="001E7243"/>
    <w:rsid w:val="001E724F"/>
    <w:rsid w:val="001E7480"/>
    <w:rsid w:val="001E75D1"/>
    <w:rsid w:val="001E75E6"/>
    <w:rsid w:val="001E7A7E"/>
    <w:rsid w:val="001E7C2E"/>
    <w:rsid w:val="001E7EB1"/>
    <w:rsid w:val="001F00AA"/>
    <w:rsid w:val="001F01A0"/>
    <w:rsid w:val="001F030B"/>
    <w:rsid w:val="001F04C8"/>
    <w:rsid w:val="001F079C"/>
    <w:rsid w:val="001F0CDE"/>
    <w:rsid w:val="001F0F17"/>
    <w:rsid w:val="001F102B"/>
    <w:rsid w:val="001F106F"/>
    <w:rsid w:val="001F10AC"/>
    <w:rsid w:val="001F1149"/>
    <w:rsid w:val="001F1372"/>
    <w:rsid w:val="001F13E0"/>
    <w:rsid w:val="001F1905"/>
    <w:rsid w:val="001F1ACA"/>
    <w:rsid w:val="001F1B25"/>
    <w:rsid w:val="001F1C16"/>
    <w:rsid w:val="001F1CF3"/>
    <w:rsid w:val="001F1E46"/>
    <w:rsid w:val="001F1F15"/>
    <w:rsid w:val="001F1F2E"/>
    <w:rsid w:val="001F2001"/>
    <w:rsid w:val="001F20E1"/>
    <w:rsid w:val="001F2159"/>
    <w:rsid w:val="001F2548"/>
    <w:rsid w:val="001F2703"/>
    <w:rsid w:val="001F2743"/>
    <w:rsid w:val="001F29FC"/>
    <w:rsid w:val="001F2DFC"/>
    <w:rsid w:val="001F2FD8"/>
    <w:rsid w:val="001F320D"/>
    <w:rsid w:val="001F335C"/>
    <w:rsid w:val="001F339B"/>
    <w:rsid w:val="001F3674"/>
    <w:rsid w:val="001F36AE"/>
    <w:rsid w:val="001F38CD"/>
    <w:rsid w:val="001F3AD3"/>
    <w:rsid w:val="001F3BED"/>
    <w:rsid w:val="001F3DC8"/>
    <w:rsid w:val="001F3F66"/>
    <w:rsid w:val="001F3F7C"/>
    <w:rsid w:val="001F4129"/>
    <w:rsid w:val="001F4160"/>
    <w:rsid w:val="001F4418"/>
    <w:rsid w:val="001F44BF"/>
    <w:rsid w:val="001F4550"/>
    <w:rsid w:val="001F4867"/>
    <w:rsid w:val="001F48A0"/>
    <w:rsid w:val="001F4EBA"/>
    <w:rsid w:val="001F5006"/>
    <w:rsid w:val="001F5081"/>
    <w:rsid w:val="001F5286"/>
    <w:rsid w:val="001F52A2"/>
    <w:rsid w:val="001F542B"/>
    <w:rsid w:val="001F5504"/>
    <w:rsid w:val="001F55A7"/>
    <w:rsid w:val="001F57FB"/>
    <w:rsid w:val="001F5875"/>
    <w:rsid w:val="001F5904"/>
    <w:rsid w:val="001F5943"/>
    <w:rsid w:val="001F59D4"/>
    <w:rsid w:val="001F5BA3"/>
    <w:rsid w:val="001F5C73"/>
    <w:rsid w:val="001F5C81"/>
    <w:rsid w:val="001F6270"/>
    <w:rsid w:val="001F62A2"/>
    <w:rsid w:val="001F636E"/>
    <w:rsid w:val="001F63EB"/>
    <w:rsid w:val="001F642F"/>
    <w:rsid w:val="001F6523"/>
    <w:rsid w:val="001F6532"/>
    <w:rsid w:val="001F66D5"/>
    <w:rsid w:val="001F66DB"/>
    <w:rsid w:val="001F6749"/>
    <w:rsid w:val="001F6878"/>
    <w:rsid w:val="001F690D"/>
    <w:rsid w:val="001F695A"/>
    <w:rsid w:val="001F6976"/>
    <w:rsid w:val="001F6D87"/>
    <w:rsid w:val="001F6EA2"/>
    <w:rsid w:val="001F6FB2"/>
    <w:rsid w:val="001F6FEE"/>
    <w:rsid w:val="001F700C"/>
    <w:rsid w:val="001F7039"/>
    <w:rsid w:val="001F7144"/>
    <w:rsid w:val="001F7226"/>
    <w:rsid w:val="001F7295"/>
    <w:rsid w:val="001F72EA"/>
    <w:rsid w:val="001F7355"/>
    <w:rsid w:val="001F73D8"/>
    <w:rsid w:val="001F740F"/>
    <w:rsid w:val="001F7450"/>
    <w:rsid w:val="001F74D9"/>
    <w:rsid w:val="001F7D6F"/>
    <w:rsid w:val="001F7E07"/>
    <w:rsid w:val="001F7E75"/>
    <w:rsid w:val="001F7EDE"/>
    <w:rsid w:val="00200252"/>
    <w:rsid w:val="002002A1"/>
    <w:rsid w:val="00200678"/>
    <w:rsid w:val="00200913"/>
    <w:rsid w:val="00200C49"/>
    <w:rsid w:val="00200C5C"/>
    <w:rsid w:val="00200D50"/>
    <w:rsid w:val="00200E06"/>
    <w:rsid w:val="00200FC8"/>
    <w:rsid w:val="002010F1"/>
    <w:rsid w:val="002013F3"/>
    <w:rsid w:val="00201484"/>
    <w:rsid w:val="0020152A"/>
    <w:rsid w:val="002015B0"/>
    <w:rsid w:val="002016F1"/>
    <w:rsid w:val="00201B05"/>
    <w:rsid w:val="00201C15"/>
    <w:rsid w:val="0020207C"/>
    <w:rsid w:val="0020230D"/>
    <w:rsid w:val="00202380"/>
    <w:rsid w:val="00202453"/>
    <w:rsid w:val="002024CF"/>
    <w:rsid w:val="00202922"/>
    <w:rsid w:val="002029B9"/>
    <w:rsid w:val="00202ABD"/>
    <w:rsid w:val="00202B36"/>
    <w:rsid w:val="00202B64"/>
    <w:rsid w:val="00202B79"/>
    <w:rsid w:val="00202E96"/>
    <w:rsid w:val="00202FE0"/>
    <w:rsid w:val="00203277"/>
    <w:rsid w:val="002033DF"/>
    <w:rsid w:val="0020354E"/>
    <w:rsid w:val="0020356F"/>
    <w:rsid w:val="002035DB"/>
    <w:rsid w:val="002037EC"/>
    <w:rsid w:val="00203B84"/>
    <w:rsid w:val="00203BA1"/>
    <w:rsid w:val="00203CCC"/>
    <w:rsid w:val="00203E7F"/>
    <w:rsid w:val="00203F76"/>
    <w:rsid w:val="00203F86"/>
    <w:rsid w:val="00204034"/>
    <w:rsid w:val="00204040"/>
    <w:rsid w:val="00204389"/>
    <w:rsid w:val="0020440C"/>
    <w:rsid w:val="0020452C"/>
    <w:rsid w:val="0020471B"/>
    <w:rsid w:val="002047F5"/>
    <w:rsid w:val="002049F0"/>
    <w:rsid w:val="00204B62"/>
    <w:rsid w:val="00204D42"/>
    <w:rsid w:val="00205165"/>
    <w:rsid w:val="002051E0"/>
    <w:rsid w:val="002056B3"/>
    <w:rsid w:val="00205774"/>
    <w:rsid w:val="00205904"/>
    <w:rsid w:val="00205AD5"/>
    <w:rsid w:val="00205C53"/>
    <w:rsid w:val="00205C86"/>
    <w:rsid w:val="00205CBC"/>
    <w:rsid w:val="00205F1B"/>
    <w:rsid w:val="002060C5"/>
    <w:rsid w:val="00206201"/>
    <w:rsid w:val="00206415"/>
    <w:rsid w:val="00206724"/>
    <w:rsid w:val="0020675D"/>
    <w:rsid w:val="00206761"/>
    <w:rsid w:val="002067A4"/>
    <w:rsid w:val="002067F4"/>
    <w:rsid w:val="0020685F"/>
    <w:rsid w:val="00206DB7"/>
    <w:rsid w:val="00206F08"/>
    <w:rsid w:val="00207278"/>
    <w:rsid w:val="0020733F"/>
    <w:rsid w:val="0020739E"/>
    <w:rsid w:val="00207672"/>
    <w:rsid w:val="00207747"/>
    <w:rsid w:val="002077B2"/>
    <w:rsid w:val="00207881"/>
    <w:rsid w:val="002079E5"/>
    <w:rsid w:val="00207BD2"/>
    <w:rsid w:val="00207BE9"/>
    <w:rsid w:val="00207C66"/>
    <w:rsid w:val="00207DD4"/>
    <w:rsid w:val="00207F9A"/>
    <w:rsid w:val="00207F9C"/>
    <w:rsid w:val="00210083"/>
    <w:rsid w:val="0021010F"/>
    <w:rsid w:val="00210447"/>
    <w:rsid w:val="00210BD5"/>
    <w:rsid w:val="00210CBE"/>
    <w:rsid w:val="00210CF2"/>
    <w:rsid w:val="002115A7"/>
    <w:rsid w:val="002115B4"/>
    <w:rsid w:val="002116C3"/>
    <w:rsid w:val="00211773"/>
    <w:rsid w:val="00211825"/>
    <w:rsid w:val="002119A6"/>
    <w:rsid w:val="00211B7C"/>
    <w:rsid w:val="00211CBE"/>
    <w:rsid w:val="00211DB1"/>
    <w:rsid w:val="00212072"/>
    <w:rsid w:val="00212237"/>
    <w:rsid w:val="002122A9"/>
    <w:rsid w:val="002123E2"/>
    <w:rsid w:val="002124E6"/>
    <w:rsid w:val="00212645"/>
    <w:rsid w:val="00212700"/>
    <w:rsid w:val="00212B37"/>
    <w:rsid w:val="00212B4F"/>
    <w:rsid w:val="00212CC3"/>
    <w:rsid w:val="00212CCD"/>
    <w:rsid w:val="00212D0B"/>
    <w:rsid w:val="00212E0B"/>
    <w:rsid w:val="00212E23"/>
    <w:rsid w:val="00212E48"/>
    <w:rsid w:val="00212E7C"/>
    <w:rsid w:val="00212EDF"/>
    <w:rsid w:val="002131F7"/>
    <w:rsid w:val="00213343"/>
    <w:rsid w:val="00213373"/>
    <w:rsid w:val="0021339E"/>
    <w:rsid w:val="0021379B"/>
    <w:rsid w:val="002137AE"/>
    <w:rsid w:val="002137AF"/>
    <w:rsid w:val="002138FF"/>
    <w:rsid w:val="002139D1"/>
    <w:rsid w:val="00213D02"/>
    <w:rsid w:val="00213D4E"/>
    <w:rsid w:val="00213D60"/>
    <w:rsid w:val="00213FE9"/>
    <w:rsid w:val="00214033"/>
    <w:rsid w:val="0021434C"/>
    <w:rsid w:val="0021434D"/>
    <w:rsid w:val="00214475"/>
    <w:rsid w:val="0021452C"/>
    <w:rsid w:val="0021494A"/>
    <w:rsid w:val="00214B10"/>
    <w:rsid w:val="00214B1C"/>
    <w:rsid w:val="00214DFD"/>
    <w:rsid w:val="00214F28"/>
    <w:rsid w:val="00214F7F"/>
    <w:rsid w:val="00215235"/>
    <w:rsid w:val="00215272"/>
    <w:rsid w:val="0021539B"/>
    <w:rsid w:val="002153DB"/>
    <w:rsid w:val="0021556D"/>
    <w:rsid w:val="00215841"/>
    <w:rsid w:val="0021589E"/>
    <w:rsid w:val="00215BBD"/>
    <w:rsid w:val="00215CAC"/>
    <w:rsid w:val="00215E1D"/>
    <w:rsid w:val="00216004"/>
    <w:rsid w:val="0021613E"/>
    <w:rsid w:val="002161B7"/>
    <w:rsid w:val="002164E1"/>
    <w:rsid w:val="0021652D"/>
    <w:rsid w:val="002166C6"/>
    <w:rsid w:val="002167DC"/>
    <w:rsid w:val="002168A1"/>
    <w:rsid w:val="00216C6D"/>
    <w:rsid w:val="00216C86"/>
    <w:rsid w:val="00216D20"/>
    <w:rsid w:val="00216D6A"/>
    <w:rsid w:val="00216E44"/>
    <w:rsid w:val="00216E67"/>
    <w:rsid w:val="00216F6E"/>
    <w:rsid w:val="00216FD8"/>
    <w:rsid w:val="00217176"/>
    <w:rsid w:val="0021731C"/>
    <w:rsid w:val="00217514"/>
    <w:rsid w:val="002177E9"/>
    <w:rsid w:val="00217C39"/>
    <w:rsid w:val="00217CAD"/>
    <w:rsid w:val="00220016"/>
    <w:rsid w:val="002202CF"/>
    <w:rsid w:val="002204D7"/>
    <w:rsid w:val="0022050C"/>
    <w:rsid w:val="0022058A"/>
    <w:rsid w:val="0022077F"/>
    <w:rsid w:val="0022092C"/>
    <w:rsid w:val="00220A5C"/>
    <w:rsid w:val="00220CED"/>
    <w:rsid w:val="00221066"/>
    <w:rsid w:val="0022111D"/>
    <w:rsid w:val="0022117F"/>
    <w:rsid w:val="002211F8"/>
    <w:rsid w:val="0022125E"/>
    <w:rsid w:val="00221323"/>
    <w:rsid w:val="002214BA"/>
    <w:rsid w:val="002215C0"/>
    <w:rsid w:val="00221646"/>
    <w:rsid w:val="0022195C"/>
    <w:rsid w:val="00221977"/>
    <w:rsid w:val="002219BB"/>
    <w:rsid w:val="002219BD"/>
    <w:rsid w:val="00221AA9"/>
    <w:rsid w:val="00221B64"/>
    <w:rsid w:val="00221D0C"/>
    <w:rsid w:val="00221EB5"/>
    <w:rsid w:val="002222BD"/>
    <w:rsid w:val="002222F8"/>
    <w:rsid w:val="00222317"/>
    <w:rsid w:val="00222455"/>
    <w:rsid w:val="002226DD"/>
    <w:rsid w:val="00222A3E"/>
    <w:rsid w:val="00222A5E"/>
    <w:rsid w:val="00222B94"/>
    <w:rsid w:val="00222C0A"/>
    <w:rsid w:val="00222CE4"/>
    <w:rsid w:val="00222DAB"/>
    <w:rsid w:val="00222DF2"/>
    <w:rsid w:val="00222EF9"/>
    <w:rsid w:val="0022303E"/>
    <w:rsid w:val="002230B1"/>
    <w:rsid w:val="002233E2"/>
    <w:rsid w:val="0022357B"/>
    <w:rsid w:val="0022366C"/>
    <w:rsid w:val="00223958"/>
    <w:rsid w:val="002239A9"/>
    <w:rsid w:val="002239DC"/>
    <w:rsid w:val="00223A25"/>
    <w:rsid w:val="00223AB0"/>
    <w:rsid w:val="00223AEA"/>
    <w:rsid w:val="00223C4B"/>
    <w:rsid w:val="00223CE5"/>
    <w:rsid w:val="00223D37"/>
    <w:rsid w:val="00223E26"/>
    <w:rsid w:val="002240F3"/>
    <w:rsid w:val="0022412B"/>
    <w:rsid w:val="0022432F"/>
    <w:rsid w:val="002245E9"/>
    <w:rsid w:val="0022466D"/>
    <w:rsid w:val="00224829"/>
    <w:rsid w:val="00224881"/>
    <w:rsid w:val="00224A38"/>
    <w:rsid w:val="00224A90"/>
    <w:rsid w:val="00224DEA"/>
    <w:rsid w:val="00224E05"/>
    <w:rsid w:val="00224E59"/>
    <w:rsid w:val="00224EEB"/>
    <w:rsid w:val="00225192"/>
    <w:rsid w:val="0022529F"/>
    <w:rsid w:val="00225406"/>
    <w:rsid w:val="002254E1"/>
    <w:rsid w:val="002254FD"/>
    <w:rsid w:val="00225585"/>
    <w:rsid w:val="0022559E"/>
    <w:rsid w:val="002255E8"/>
    <w:rsid w:val="002257C1"/>
    <w:rsid w:val="00225A2A"/>
    <w:rsid w:val="00225AA3"/>
    <w:rsid w:val="00225F2C"/>
    <w:rsid w:val="00225F6A"/>
    <w:rsid w:val="00225F89"/>
    <w:rsid w:val="00225FA3"/>
    <w:rsid w:val="0022616A"/>
    <w:rsid w:val="00226193"/>
    <w:rsid w:val="00226221"/>
    <w:rsid w:val="002262C6"/>
    <w:rsid w:val="002264A6"/>
    <w:rsid w:val="002267EC"/>
    <w:rsid w:val="002268A4"/>
    <w:rsid w:val="00226B3F"/>
    <w:rsid w:val="00226DD6"/>
    <w:rsid w:val="00226FC6"/>
    <w:rsid w:val="002272AF"/>
    <w:rsid w:val="00227404"/>
    <w:rsid w:val="00227941"/>
    <w:rsid w:val="00227981"/>
    <w:rsid w:val="00227AB2"/>
    <w:rsid w:val="00227C7F"/>
    <w:rsid w:val="00227DEF"/>
    <w:rsid w:val="002301C6"/>
    <w:rsid w:val="002303AA"/>
    <w:rsid w:val="0023042D"/>
    <w:rsid w:val="002306A9"/>
    <w:rsid w:val="00230929"/>
    <w:rsid w:val="00230D1B"/>
    <w:rsid w:val="00230D86"/>
    <w:rsid w:val="002313B2"/>
    <w:rsid w:val="002314B4"/>
    <w:rsid w:val="002315AA"/>
    <w:rsid w:val="002315BD"/>
    <w:rsid w:val="00231635"/>
    <w:rsid w:val="002316D1"/>
    <w:rsid w:val="00231748"/>
    <w:rsid w:val="00231848"/>
    <w:rsid w:val="00231989"/>
    <w:rsid w:val="002319ED"/>
    <w:rsid w:val="00231B41"/>
    <w:rsid w:val="00231B6B"/>
    <w:rsid w:val="00231E8D"/>
    <w:rsid w:val="00231E95"/>
    <w:rsid w:val="00231FC6"/>
    <w:rsid w:val="00232044"/>
    <w:rsid w:val="0023226D"/>
    <w:rsid w:val="00232334"/>
    <w:rsid w:val="0023237E"/>
    <w:rsid w:val="002324F1"/>
    <w:rsid w:val="00232714"/>
    <w:rsid w:val="00232761"/>
    <w:rsid w:val="0023286F"/>
    <w:rsid w:val="00232DA7"/>
    <w:rsid w:val="00232E35"/>
    <w:rsid w:val="00232E92"/>
    <w:rsid w:val="0023318B"/>
    <w:rsid w:val="0023327D"/>
    <w:rsid w:val="0023327E"/>
    <w:rsid w:val="002333B1"/>
    <w:rsid w:val="00233461"/>
    <w:rsid w:val="00233517"/>
    <w:rsid w:val="00233556"/>
    <w:rsid w:val="00233692"/>
    <w:rsid w:val="00233721"/>
    <w:rsid w:val="002337D1"/>
    <w:rsid w:val="002338A9"/>
    <w:rsid w:val="002338E4"/>
    <w:rsid w:val="00233BFB"/>
    <w:rsid w:val="00233E64"/>
    <w:rsid w:val="0023404E"/>
    <w:rsid w:val="002340C9"/>
    <w:rsid w:val="002344A6"/>
    <w:rsid w:val="0023455D"/>
    <w:rsid w:val="002346BC"/>
    <w:rsid w:val="002347E7"/>
    <w:rsid w:val="00234A34"/>
    <w:rsid w:val="00234A85"/>
    <w:rsid w:val="00234E66"/>
    <w:rsid w:val="00234ED5"/>
    <w:rsid w:val="0023500B"/>
    <w:rsid w:val="00235065"/>
    <w:rsid w:val="00235314"/>
    <w:rsid w:val="0023539C"/>
    <w:rsid w:val="002353B2"/>
    <w:rsid w:val="00235419"/>
    <w:rsid w:val="00235AEC"/>
    <w:rsid w:val="00235F57"/>
    <w:rsid w:val="0023603D"/>
    <w:rsid w:val="00236079"/>
    <w:rsid w:val="00236280"/>
    <w:rsid w:val="002367BE"/>
    <w:rsid w:val="002369ED"/>
    <w:rsid w:val="00236B06"/>
    <w:rsid w:val="00236E8E"/>
    <w:rsid w:val="002372DC"/>
    <w:rsid w:val="0023743E"/>
    <w:rsid w:val="002374BF"/>
    <w:rsid w:val="002375F2"/>
    <w:rsid w:val="0023775E"/>
    <w:rsid w:val="002377F6"/>
    <w:rsid w:val="002378AB"/>
    <w:rsid w:val="00237A28"/>
    <w:rsid w:val="00237A76"/>
    <w:rsid w:val="00237B2E"/>
    <w:rsid w:val="00237C49"/>
    <w:rsid w:val="00237DA6"/>
    <w:rsid w:val="00237DE3"/>
    <w:rsid w:val="00237E79"/>
    <w:rsid w:val="00237F61"/>
    <w:rsid w:val="00240030"/>
    <w:rsid w:val="00240067"/>
    <w:rsid w:val="0024020A"/>
    <w:rsid w:val="0024047E"/>
    <w:rsid w:val="002405BC"/>
    <w:rsid w:val="00240627"/>
    <w:rsid w:val="0024074E"/>
    <w:rsid w:val="002407C0"/>
    <w:rsid w:val="00240AF9"/>
    <w:rsid w:val="00240D34"/>
    <w:rsid w:val="00240F3E"/>
    <w:rsid w:val="00241029"/>
    <w:rsid w:val="0024105A"/>
    <w:rsid w:val="002411D7"/>
    <w:rsid w:val="00241251"/>
    <w:rsid w:val="002412A0"/>
    <w:rsid w:val="00241967"/>
    <w:rsid w:val="00241BC0"/>
    <w:rsid w:val="00241C71"/>
    <w:rsid w:val="00241EBE"/>
    <w:rsid w:val="00241FE4"/>
    <w:rsid w:val="00242117"/>
    <w:rsid w:val="00242141"/>
    <w:rsid w:val="00242661"/>
    <w:rsid w:val="002426A3"/>
    <w:rsid w:val="00242810"/>
    <w:rsid w:val="00242866"/>
    <w:rsid w:val="00242E82"/>
    <w:rsid w:val="00242FA1"/>
    <w:rsid w:val="0024358D"/>
    <w:rsid w:val="00243896"/>
    <w:rsid w:val="002438F2"/>
    <w:rsid w:val="002439C4"/>
    <w:rsid w:val="002439DE"/>
    <w:rsid w:val="00243AA0"/>
    <w:rsid w:val="00243AB1"/>
    <w:rsid w:val="00243B0C"/>
    <w:rsid w:val="00243D3F"/>
    <w:rsid w:val="00243F01"/>
    <w:rsid w:val="00244283"/>
    <w:rsid w:val="002442B6"/>
    <w:rsid w:val="002445D8"/>
    <w:rsid w:val="0024472F"/>
    <w:rsid w:val="002449F5"/>
    <w:rsid w:val="00244A9E"/>
    <w:rsid w:val="00244B67"/>
    <w:rsid w:val="00244CB1"/>
    <w:rsid w:val="00244D27"/>
    <w:rsid w:val="00244EC7"/>
    <w:rsid w:val="00245038"/>
    <w:rsid w:val="00245110"/>
    <w:rsid w:val="0024522D"/>
    <w:rsid w:val="0024535B"/>
    <w:rsid w:val="00245513"/>
    <w:rsid w:val="002457DD"/>
    <w:rsid w:val="00245B83"/>
    <w:rsid w:val="00245C5C"/>
    <w:rsid w:val="00245C8F"/>
    <w:rsid w:val="00246055"/>
    <w:rsid w:val="002462B0"/>
    <w:rsid w:val="002464BB"/>
    <w:rsid w:val="002467B6"/>
    <w:rsid w:val="00246815"/>
    <w:rsid w:val="002469B8"/>
    <w:rsid w:val="00246BA1"/>
    <w:rsid w:val="00246DBD"/>
    <w:rsid w:val="0024739F"/>
    <w:rsid w:val="002473E3"/>
    <w:rsid w:val="002474D1"/>
    <w:rsid w:val="00247636"/>
    <w:rsid w:val="00247A50"/>
    <w:rsid w:val="00247D89"/>
    <w:rsid w:val="00247E8F"/>
    <w:rsid w:val="00250520"/>
    <w:rsid w:val="00250666"/>
    <w:rsid w:val="0025092C"/>
    <w:rsid w:val="00250A72"/>
    <w:rsid w:val="00250B5C"/>
    <w:rsid w:val="00250C77"/>
    <w:rsid w:val="00250D71"/>
    <w:rsid w:val="00250E50"/>
    <w:rsid w:val="00250E9F"/>
    <w:rsid w:val="00250FA6"/>
    <w:rsid w:val="00250FCA"/>
    <w:rsid w:val="00251185"/>
    <w:rsid w:val="0025136C"/>
    <w:rsid w:val="00251458"/>
    <w:rsid w:val="002515ED"/>
    <w:rsid w:val="00251621"/>
    <w:rsid w:val="002516FE"/>
    <w:rsid w:val="00251847"/>
    <w:rsid w:val="00251897"/>
    <w:rsid w:val="0025190C"/>
    <w:rsid w:val="00251A8C"/>
    <w:rsid w:val="00251D32"/>
    <w:rsid w:val="00251DE0"/>
    <w:rsid w:val="00251E09"/>
    <w:rsid w:val="00251FD3"/>
    <w:rsid w:val="00252038"/>
    <w:rsid w:val="002520A0"/>
    <w:rsid w:val="0025275C"/>
    <w:rsid w:val="00252873"/>
    <w:rsid w:val="00252A7F"/>
    <w:rsid w:val="00252C2B"/>
    <w:rsid w:val="00252C90"/>
    <w:rsid w:val="00252D53"/>
    <w:rsid w:val="002530CE"/>
    <w:rsid w:val="0025311A"/>
    <w:rsid w:val="002532DB"/>
    <w:rsid w:val="002538AF"/>
    <w:rsid w:val="002539F1"/>
    <w:rsid w:val="002539FD"/>
    <w:rsid w:val="00253A75"/>
    <w:rsid w:val="00253BBB"/>
    <w:rsid w:val="00253FC9"/>
    <w:rsid w:val="002540CA"/>
    <w:rsid w:val="002541C4"/>
    <w:rsid w:val="002542D4"/>
    <w:rsid w:val="00254500"/>
    <w:rsid w:val="0025450B"/>
    <w:rsid w:val="00254608"/>
    <w:rsid w:val="002549F7"/>
    <w:rsid w:val="00254DFB"/>
    <w:rsid w:val="00254EA1"/>
    <w:rsid w:val="00255112"/>
    <w:rsid w:val="002551E4"/>
    <w:rsid w:val="00255529"/>
    <w:rsid w:val="0025592C"/>
    <w:rsid w:val="00255BE5"/>
    <w:rsid w:val="00255D93"/>
    <w:rsid w:val="0025606D"/>
    <w:rsid w:val="002560F3"/>
    <w:rsid w:val="002561A9"/>
    <w:rsid w:val="002562F7"/>
    <w:rsid w:val="0025634D"/>
    <w:rsid w:val="0025658A"/>
    <w:rsid w:val="00256672"/>
    <w:rsid w:val="002566AE"/>
    <w:rsid w:val="002567BC"/>
    <w:rsid w:val="0025692F"/>
    <w:rsid w:val="00256A68"/>
    <w:rsid w:val="00256AAB"/>
    <w:rsid w:val="00256C36"/>
    <w:rsid w:val="00256CD7"/>
    <w:rsid w:val="00257196"/>
    <w:rsid w:val="0025725F"/>
    <w:rsid w:val="00257282"/>
    <w:rsid w:val="00257468"/>
    <w:rsid w:val="00257486"/>
    <w:rsid w:val="002574E6"/>
    <w:rsid w:val="002574F1"/>
    <w:rsid w:val="00257598"/>
    <w:rsid w:val="00257648"/>
    <w:rsid w:val="002578F2"/>
    <w:rsid w:val="00257B96"/>
    <w:rsid w:val="00257BBA"/>
    <w:rsid w:val="00257C97"/>
    <w:rsid w:val="00257DF8"/>
    <w:rsid w:val="00257E1F"/>
    <w:rsid w:val="002602C3"/>
    <w:rsid w:val="002604A0"/>
    <w:rsid w:val="002606AC"/>
    <w:rsid w:val="00260831"/>
    <w:rsid w:val="002608E7"/>
    <w:rsid w:val="00260C8E"/>
    <w:rsid w:val="00260D4C"/>
    <w:rsid w:val="00260DB3"/>
    <w:rsid w:val="00260DEF"/>
    <w:rsid w:val="00260E90"/>
    <w:rsid w:val="002611A1"/>
    <w:rsid w:val="0026124D"/>
    <w:rsid w:val="0026140E"/>
    <w:rsid w:val="002615D6"/>
    <w:rsid w:val="002618A5"/>
    <w:rsid w:val="002618BF"/>
    <w:rsid w:val="00261B9C"/>
    <w:rsid w:val="00261D12"/>
    <w:rsid w:val="00261DE2"/>
    <w:rsid w:val="00261E4A"/>
    <w:rsid w:val="00261F72"/>
    <w:rsid w:val="00261FA5"/>
    <w:rsid w:val="00261FAC"/>
    <w:rsid w:val="00262029"/>
    <w:rsid w:val="00262352"/>
    <w:rsid w:val="00262895"/>
    <w:rsid w:val="0026294A"/>
    <w:rsid w:val="00262966"/>
    <w:rsid w:val="00262AF3"/>
    <w:rsid w:val="00262BD7"/>
    <w:rsid w:val="00262CAD"/>
    <w:rsid w:val="002630F3"/>
    <w:rsid w:val="002631A5"/>
    <w:rsid w:val="002632BA"/>
    <w:rsid w:val="00263302"/>
    <w:rsid w:val="00263400"/>
    <w:rsid w:val="002637BC"/>
    <w:rsid w:val="0026384D"/>
    <w:rsid w:val="00263BCB"/>
    <w:rsid w:val="00263C73"/>
    <w:rsid w:val="00263D22"/>
    <w:rsid w:val="00263D55"/>
    <w:rsid w:val="00263DC3"/>
    <w:rsid w:val="002641E5"/>
    <w:rsid w:val="002642E3"/>
    <w:rsid w:val="002643F6"/>
    <w:rsid w:val="00264728"/>
    <w:rsid w:val="00264962"/>
    <w:rsid w:val="00264A3C"/>
    <w:rsid w:val="00264ACE"/>
    <w:rsid w:val="00264B84"/>
    <w:rsid w:val="00265014"/>
    <w:rsid w:val="002651DB"/>
    <w:rsid w:val="0026541D"/>
    <w:rsid w:val="0026559B"/>
    <w:rsid w:val="002658A4"/>
    <w:rsid w:val="00265AA2"/>
    <w:rsid w:val="00265B41"/>
    <w:rsid w:val="00265C8F"/>
    <w:rsid w:val="00265E0F"/>
    <w:rsid w:val="00265E3B"/>
    <w:rsid w:val="00265F3B"/>
    <w:rsid w:val="00265F46"/>
    <w:rsid w:val="002663B0"/>
    <w:rsid w:val="00266403"/>
    <w:rsid w:val="00266556"/>
    <w:rsid w:val="002667B3"/>
    <w:rsid w:val="00266834"/>
    <w:rsid w:val="00266973"/>
    <w:rsid w:val="002669F9"/>
    <w:rsid w:val="00266BAF"/>
    <w:rsid w:val="00266E1D"/>
    <w:rsid w:val="00266E8D"/>
    <w:rsid w:val="002674BF"/>
    <w:rsid w:val="002677EB"/>
    <w:rsid w:val="002679C5"/>
    <w:rsid w:val="00267E2D"/>
    <w:rsid w:val="00267E45"/>
    <w:rsid w:val="00267F1C"/>
    <w:rsid w:val="002702E7"/>
    <w:rsid w:val="00270439"/>
    <w:rsid w:val="0027046D"/>
    <w:rsid w:val="002704C8"/>
    <w:rsid w:val="00270533"/>
    <w:rsid w:val="00270586"/>
    <w:rsid w:val="0027059E"/>
    <w:rsid w:val="002707C6"/>
    <w:rsid w:val="00270A19"/>
    <w:rsid w:val="00270A84"/>
    <w:rsid w:val="00270CFC"/>
    <w:rsid w:val="00270DB6"/>
    <w:rsid w:val="00270E40"/>
    <w:rsid w:val="00270E53"/>
    <w:rsid w:val="0027101A"/>
    <w:rsid w:val="0027103C"/>
    <w:rsid w:val="0027143B"/>
    <w:rsid w:val="00271505"/>
    <w:rsid w:val="002715F0"/>
    <w:rsid w:val="0027161E"/>
    <w:rsid w:val="00271623"/>
    <w:rsid w:val="0027168E"/>
    <w:rsid w:val="00271956"/>
    <w:rsid w:val="00271A92"/>
    <w:rsid w:val="00271B72"/>
    <w:rsid w:val="0027222A"/>
    <w:rsid w:val="0027224B"/>
    <w:rsid w:val="002722DA"/>
    <w:rsid w:val="00272394"/>
    <w:rsid w:val="002723FE"/>
    <w:rsid w:val="002726E0"/>
    <w:rsid w:val="00272D60"/>
    <w:rsid w:val="00272D63"/>
    <w:rsid w:val="00272D6A"/>
    <w:rsid w:val="00273057"/>
    <w:rsid w:val="002730C8"/>
    <w:rsid w:val="002731DB"/>
    <w:rsid w:val="0027321E"/>
    <w:rsid w:val="0027335A"/>
    <w:rsid w:val="00273694"/>
    <w:rsid w:val="002737B9"/>
    <w:rsid w:val="00273BF9"/>
    <w:rsid w:val="00273C53"/>
    <w:rsid w:val="00273D3F"/>
    <w:rsid w:val="00273DD7"/>
    <w:rsid w:val="00273E34"/>
    <w:rsid w:val="002742B5"/>
    <w:rsid w:val="002745F1"/>
    <w:rsid w:val="0027485C"/>
    <w:rsid w:val="00274874"/>
    <w:rsid w:val="00274876"/>
    <w:rsid w:val="002748F7"/>
    <w:rsid w:val="00274BE1"/>
    <w:rsid w:val="00274DF4"/>
    <w:rsid w:val="00274F90"/>
    <w:rsid w:val="00275061"/>
    <w:rsid w:val="00275390"/>
    <w:rsid w:val="0027542C"/>
    <w:rsid w:val="00275475"/>
    <w:rsid w:val="002757A3"/>
    <w:rsid w:val="002758FB"/>
    <w:rsid w:val="00275C8C"/>
    <w:rsid w:val="00275C9B"/>
    <w:rsid w:val="00275CB6"/>
    <w:rsid w:val="00275CEB"/>
    <w:rsid w:val="00276139"/>
    <w:rsid w:val="0027616B"/>
    <w:rsid w:val="0027647D"/>
    <w:rsid w:val="0027658D"/>
    <w:rsid w:val="0027680D"/>
    <w:rsid w:val="0027693E"/>
    <w:rsid w:val="00276A51"/>
    <w:rsid w:val="00276AFE"/>
    <w:rsid w:val="00276BC5"/>
    <w:rsid w:val="00276E30"/>
    <w:rsid w:val="00276E49"/>
    <w:rsid w:val="00276E88"/>
    <w:rsid w:val="00277116"/>
    <w:rsid w:val="002773EB"/>
    <w:rsid w:val="0027759F"/>
    <w:rsid w:val="002775D7"/>
    <w:rsid w:val="002775E8"/>
    <w:rsid w:val="002776B7"/>
    <w:rsid w:val="0027786C"/>
    <w:rsid w:val="00277882"/>
    <w:rsid w:val="00277A68"/>
    <w:rsid w:val="00277A7A"/>
    <w:rsid w:val="00277AE4"/>
    <w:rsid w:val="00277B08"/>
    <w:rsid w:val="00277CB0"/>
    <w:rsid w:val="00277DBC"/>
    <w:rsid w:val="00277EA3"/>
    <w:rsid w:val="00277EAD"/>
    <w:rsid w:val="00280090"/>
    <w:rsid w:val="002802DD"/>
    <w:rsid w:val="0028065F"/>
    <w:rsid w:val="0028068E"/>
    <w:rsid w:val="00280820"/>
    <w:rsid w:val="00280A36"/>
    <w:rsid w:val="00280BB9"/>
    <w:rsid w:val="00280C45"/>
    <w:rsid w:val="002815F0"/>
    <w:rsid w:val="00281668"/>
    <w:rsid w:val="00281842"/>
    <w:rsid w:val="002819EA"/>
    <w:rsid w:val="00281BA7"/>
    <w:rsid w:val="00281C1E"/>
    <w:rsid w:val="00281C2A"/>
    <w:rsid w:val="00281CB9"/>
    <w:rsid w:val="00281E67"/>
    <w:rsid w:val="00282016"/>
    <w:rsid w:val="00282289"/>
    <w:rsid w:val="0028234B"/>
    <w:rsid w:val="00282477"/>
    <w:rsid w:val="0028299C"/>
    <w:rsid w:val="00282A19"/>
    <w:rsid w:val="00282AEC"/>
    <w:rsid w:val="00282B02"/>
    <w:rsid w:val="00282C6A"/>
    <w:rsid w:val="0028343A"/>
    <w:rsid w:val="002834F4"/>
    <w:rsid w:val="0028354B"/>
    <w:rsid w:val="00283585"/>
    <w:rsid w:val="002835B2"/>
    <w:rsid w:val="0028361C"/>
    <w:rsid w:val="0028372C"/>
    <w:rsid w:val="002839DC"/>
    <w:rsid w:val="00283B40"/>
    <w:rsid w:val="00283B5E"/>
    <w:rsid w:val="00283BF1"/>
    <w:rsid w:val="00283CB2"/>
    <w:rsid w:val="00283CD8"/>
    <w:rsid w:val="00283E18"/>
    <w:rsid w:val="00283F46"/>
    <w:rsid w:val="002842CB"/>
    <w:rsid w:val="00284409"/>
    <w:rsid w:val="0028476D"/>
    <w:rsid w:val="00284955"/>
    <w:rsid w:val="002849CB"/>
    <w:rsid w:val="00284FAC"/>
    <w:rsid w:val="002853DD"/>
    <w:rsid w:val="002854A3"/>
    <w:rsid w:val="0028550F"/>
    <w:rsid w:val="00285566"/>
    <w:rsid w:val="002855EB"/>
    <w:rsid w:val="00285621"/>
    <w:rsid w:val="00285644"/>
    <w:rsid w:val="00285790"/>
    <w:rsid w:val="002859DA"/>
    <w:rsid w:val="002859E3"/>
    <w:rsid w:val="00285A84"/>
    <w:rsid w:val="00285AC8"/>
    <w:rsid w:val="00285B00"/>
    <w:rsid w:val="00285CD6"/>
    <w:rsid w:val="00285CFB"/>
    <w:rsid w:val="00285D2A"/>
    <w:rsid w:val="00285E65"/>
    <w:rsid w:val="00285F64"/>
    <w:rsid w:val="00285F9C"/>
    <w:rsid w:val="00286093"/>
    <w:rsid w:val="002860A3"/>
    <w:rsid w:val="00286435"/>
    <w:rsid w:val="0028644B"/>
    <w:rsid w:val="002865D8"/>
    <w:rsid w:val="002865FD"/>
    <w:rsid w:val="0028667B"/>
    <w:rsid w:val="0028674A"/>
    <w:rsid w:val="002867B3"/>
    <w:rsid w:val="0028695C"/>
    <w:rsid w:val="00286A1E"/>
    <w:rsid w:val="00286B5E"/>
    <w:rsid w:val="00286C3D"/>
    <w:rsid w:val="00286D6E"/>
    <w:rsid w:val="00286DAB"/>
    <w:rsid w:val="00286E87"/>
    <w:rsid w:val="00286F87"/>
    <w:rsid w:val="002870F7"/>
    <w:rsid w:val="00287198"/>
    <w:rsid w:val="0028739F"/>
    <w:rsid w:val="002874F3"/>
    <w:rsid w:val="00287793"/>
    <w:rsid w:val="00287BED"/>
    <w:rsid w:val="00287CAB"/>
    <w:rsid w:val="00287EB4"/>
    <w:rsid w:val="00287EF4"/>
    <w:rsid w:val="00287F5B"/>
    <w:rsid w:val="0029017D"/>
    <w:rsid w:val="002902A5"/>
    <w:rsid w:val="002904A4"/>
    <w:rsid w:val="00290635"/>
    <w:rsid w:val="002907D1"/>
    <w:rsid w:val="002909D4"/>
    <w:rsid w:val="00290A83"/>
    <w:rsid w:val="00290AD9"/>
    <w:rsid w:val="00290BCB"/>
    <w:rsid w:val="00290C7B"/>
    <w:rsid w:val="0029132D"/>
    <w:rsid w:val="002914EA"/>
    <w:rsid w:val="002915C1"/>
    <w:rsid w:val="00291740"/>
    <w:rsid w:val="0029181E"/>
    <w:rsid w:val="00291848"/>
    <w:rsid w:val="00291850"/>
    <w:rsid w:val="002918C7"/>
    <w:rsid w:val="002918CA"/>
    <w:rsid w:val="00291A6F"/>
    <w:rsid w:val="00291DA6"/>
    <w:rsid w:val="00291F0E"/>
    <w:rsid w:val="00291F50"/>
    <w:rsid w:val="00291FC9"/>
    <w:rsid w:val="00292164"/>
    <w:rsid w:val="00292326"/>
    <w:rsid w:val="00292576"/>
    <w:rsid w:val="002928EA"/>
    <w:rsid w:val="0029297A"/>
    <w:rsid w:val="00292A24"/>
    <w:rsid w:val="00292BEC"/>
    <w:rsid w:val="00292E9B"/>
    <w:rsid w:val="00292EFB"/>
    <w:rsid w:val="002930AB"/>
    <w:rsid w:val="00293192"/>
    <w:rsid w:val="0029331F"/>
    <w:rsid w:val="002933C0"/>
    <w:rsid w:val="002934C6"/>
    <w:rsid w:val="0029363E"/>
    <w:rsid w:val="0029389A"/>
    <w:rsid w:val="002938A5"/>
    <w:rsid w:val="00293919"/>
    <w:rsid w:val="00293D81"/>
    <w:rsid w:val="00293DC4"/>
    <w:rsid w:val="00293E94"/>
    <w:rsid w:val="00293F6F"/>
    <w:rsid w:val="00294042"/>
    <w:rsid w:val="00294116"/>
    <w:rsid w:val="0029463B"/>
    <w:rsid w:val="0029472C"/>
    <w:rsid w:val="00294993"/>
    <w:rsid w:val="00294B9E"/>
    <w:rsid w:val="00294BD9"/>
    <w:rsid w:val="00294D3E"/>
    <w:rsid w:val="00294DF7"/>
    <w:rsid w:val="00294F20"/>
    <w:rsid w:val="00295055"/>
    <w:rsid w:val="0029507F"/>
    <w:rsid w:val="0029525D"/>
    <w:rsid w:val="002952B7"/>
    <w:rsid w:val="002952CB"/>
    <w:rsid w:val="0029532B"/>
    <w:rsid w:val="00295562"/>
    <w:rsid w:val="002958B3"/>
    <w:rsid w:val="00295C4F"/>
    <w:rsid w:val="00295C6B"/>
    <w:rsid w:val="00296006"/>
    <w:rsid w:val="002960D6"/>
    <w:rsid w:val="0029619E"/>
    <w:rsid w:val="002962DA"/>
    <w:rsid w:val="00296419"/>
    <w:rsid w:val="00296610"/>
    <w:rsid w:val="002967B6"/>
    <w:rsid w:val="00296CEA"/>
    <w:rsid w:val="002970CE"/>
    <w:rsid w:val="00297129"/>
    <w:rsid w:val="002971BE"/>
    <w:rsid w:val="002973FB"/>
    <w:rsid w:val="00297624"/>
    <w:rsid w:val="0029766D"/>
    <w:rsid w:val="00297836"/>
    <w:rsid w:val="00297947"/>
    <w:rsid w:val="002979E3"/>
    <w:rsid w:val="00297AED"/>
    <w:rsid w:val="00297CAE"/>
    <w:rsid w:val="00297CEA"/>
    <w:rsid w:val="00297E7A"/>
    <w:rsid w:val="002A0016"/>
    <w:rsid w:val="002A0124"/>
    <w:rsid w:val="002A0191"/>
    <w:rsid w:val="002A01C3"/>
    <w:rsid w:val="002A0371"/>
    <w:rsid w:val="002A03EC"/>
    <w:rsid w:val="002A0691"/>
    <w:rsid w:val="002A089C"/>
    <w:rsid w:val="002A0955"/>
    <w:rsid w:val="002A0B9E"/>
    <w:rsid w:val="002A1108"/>
    <w:rsid w:val="002A1286"/>
    <w:rsid w:val="002A1379"/>
    <w:rsid w:val="002A152D"/>
    <w:rsid w:val="002A16D9"/>
    <w:rsid w:val="002A181E"/>
    <w:rsid w:val="002A199C"/>
    <w:rsid w:val="002A19FA"/>
    <w:rsid w:val="002A1E8F"/>
    <w:rsid w:val="002A269B"/>
    <w:rsid w:val="002A2842"/>
    <w:rsid w:val="002A2BA0"/>
    <w:rsid w:val="002A2BC0"/>
    <w:rsid w:val="002A2D89"/>
    <w:rsid w:val="002A2DC4"/>
    <w:rsid w:val="002A2ED5"/>
    <w:rsid w:val="002A30F2"/>
    <w:rsid w:val="002A3157"/>
    <w:rsid w:val="002A31AB"/>
    <w:rsid w:val="002A32B8"/>
    <w:rsid w:val="002A3395"/>
    <w:rsid w:val="002A3414"/>
    <w:rsid w:val="002A3660"/>
    <w:rsid w:val="002A37F6"/>
    <w:rsid w:val="002A38D0"/>
    <w:rsid w:val="002A397F"/>
    <w:rsid w:val="002A3B8A"/>
    <w:rsid w:val="002A3D14"/>
    <w:rsid w:val="002A3D7D"/>
    <w:rsid w:val="002A3E07"/>
    <w:rsid w:val="002A4030"/>
    <w:rsid w:val="002A4151"/>
    <w:rsid w:val="002A421F"/>
    <w:rsid w:val="002A42D2"/>
    <w:rsid w:val="002A43F6"/>
    <w:rsid w:val="002A45BE"/>
    <w:rsid w:val="002A46DF"/>
    <w:rsid w:val="002A4A47"/>
    <w:rsid w:val="002A4B1C"/>
    <w:rsid w:val="002A4E4F"/>
    <w:rsid w:val="002A4E7D"/>
    <w:rsid w:val="002A4F13"/>
    <w:rsid w:val="002A4F45"/>
    <w:rsid w:val="002A50F6"/>
    <w:rsid w:val="002A52C5"/>
    <w:rsid w:val="002A538E"/>
    <w:rsid w:val="002A549B"/>
    <w:rsid w:val="002A5638"/>
    <w:rsid w:val="002A594A"/>
    <w:rsid w:val="002A5A2B"/>
    <w:rsid w:val="002A5B18"/>
    <w:rsid w:val="002A5C60"/>
    <w:rsid w:val="002A5C8F"/>
    <w:rsid w:val="002A5E00"/>
    <w:rsid w:val="002A6005"/>
    <w:rsid w:val="002A61B7"/>
    <w:rsid w:val="002A63B0"/>
    <w:rsid w:val="002A6FC2"/>
    <w:rsid w:val="002A7054"/>
    <w:rsid w:val="002A71AB"/>
    <w:rsid w:val="002A723E"/>
    <w:rsid w:val="002A7393"/>
    <w:rsid w:val="002A74A6"/>
    <w:rsid w:val="002A74DE"/>
    <w:rsid w:val="002A7512"/>
    <w:rsid w:val="002A75DC"/>
    <w:rsid w:val="002A7710"/>
    <w:rsid w:val="002A785A"/>
    <w:rsid w:val="002A792A"/>
    <w:rsid w:val="002A79AF"/>
    <w:rsid w:val="002A7C43"/>
    <w:rsid w:val="002A7D23"/>
    <w:rsid w:val="002A7E77"/>
    <w:rsid w:val="002B015E"/>
    <w:rsid w:val="002B0183"/>
    <w:rsid w:val="002B01DD"/>
    <w:rsid w:val="002B035A"/>
    <w:rsid w:val="002B0444"/>
    <w:rsid w:val="002B044B"/>
    <w:rsid w:val="002B04F7"/>
    <w:rsid w:val="002B0BAD"/>
    <w:rsid w:val="002B0DAD"/>
    <w:rsid w:val="002B0EEC"/>
    <w:rsid w:val="002B0F4D"/>
    <w:rsid w:val="002B0F6B"/>
    <w:rsid w:val="002B0FD5"/>
    <w:rsid w:val="002B0FDC"/>
    <w:rsid w:val="002B1101"/>
    <w:rsid w:val="002B11F7"/>
    <w:rsid w:val="002B124F"/>
    <w:rsid w:val="002B1312"/>
    <w:rsid w:val="002B13B1"/>
    <w:rsid w:val="002B181D"/>
    <w:rsid w:val="002B1AFD"/>
    <w:rsid w:val="002B24DC"/>
    <w:rsid w:val="002B2690"/>
    <w:rsid w:val="002B2795"/>
    <w:rsid w:val="002B298B"/>
    <w:rsid w:val="002B2A1A"/>
    <w:rsid w:val="002B2A7B"/>
    <w:rsid w:val="002B2BD0"/>
    <w:rsid w:val="002B2D7A"/>
    <w:rsid w:val="002B2ED5"/>
    <w:rsid w:val="002B2F58"/>
    <w:rsid w:val="002B2FF2"/>
    <w:rsid w:val="002B32F4"/>
    <w:rsid w:val="002B33C9"/>
    <w:rsid w:val="002B3558"/>
    <w:rsid w:val="002B36AD"/>
    <w:rsid w:val="002B379E"/>
    <w:rsid w:val="002B3922"/>
    <w:rsid w:val="002B3B70"/>
    <w:rsid w:val="002B3C28"/>
    <w:rsid w:val="002B3D23"/>
    <w:rsid w:val="002B3DA3"/>
    <w:rsid w:val="002B3DE8"/>
    <w:rsid w:val="002B4252"/>
    <w:rsid w:val="002B42D2"/>
    <w:rsid w:val="002B42E0"/>
    <w:rsid w:val="002B47BD"/>
    <w:rsid w:val="002B47FF"/>
    <w:rsid w:val="002B4B4C"/>
    <w:rsid w:val="002B4B6D"/>
    <w:rsid w:val="002B4C3E"/>
    <w:rsid w:val="002B4D5F"/>
    <w:rsid w:val="002B4DA0"/>
    <w:rsid w:val="002B4F59"/>
    <w:rsid w:val="002B51A8"/>
    <w:rsid w:val="002B525C"/>
    <w:rsid w:val="002B53E0"/>
    <w:rsid w:val="002B5449"/>
    <w:rsid w:val="002B5746"/>
    <w:rsid w:val="002B5750"/>
    <w:rsid w:val="002B57E9"/>
    <w:rsid w:val="002B5869"/>
    <w:rsid w:val="002B588F"/>
    <w:rsid w:val="002B5AFA"/>
    <w:rsid w:val="002B5D95"/>
    <w:rsid w:val="002B5DE3"/>
    <w:rsid w:val="002B615F"/>
    <w:rsid w:val="002B6161"/>
    <w:rsid w:val="002B635B"/>
    <w:rsid w:val="002B644B"/>
    <w:rsid w:val="002B6533"/>
    <w:rsid w:val="002B6582"/>
    <w:rsid w:val="002B67DC"/>
    <w:rsid w:val="002B6A24"/>
    <w:rsid w:val="002B6B8E"/>
    <w:rsid w:val="002B6BDE"/>
    <w:rsid w:val="002B6E16"/>
    <w:rsid w:val="002B6F99"/>
    <w:rsid w:val="002B6FA2"/>
    <w:rsid w:val="002B7009"/>
    <w:rsid w:val="002B7595"/>
    <w:rsid w:val="002B75C0"/>
    <w:rsid w:val="002B7716"/>
    <w:rsid w:val="002B7995"/>
    <w:rsid w:val="002B79B3"/>
    <w:rsid w:val="002B7AED"/>
    <w:rsid w:val="002B7B84"/>
    <w:rsid w:val="002B7C09"/>
    <w:rsid w:val="002B7D99"/>
    <w:rsid w:val="002C0479"/>
    <w:rsid w:val="002C0502"/>
    <w:rsid w:val="002C063C"/>
    <w:rsid w:val="002C06B1"/>
    <w:rsid w:val="002C0720"/>
    <w:rsid w:val="002C07F7"/>
    <w:rsid w:val="002C0979"/>
    <w:rsid w:val="002C09D6"/>
    <w:rsid w:val="002C0ADA"/>
    <w:rsid w:val="002C0BCE"/>
    <w:rsid w:val="002C0C91"/>
    <w:rsid w:val="002C1222"/>
    <w:rsid w:val="002C132E"/>
    <w:rsid w:val="002C13DB"/>
    <w:rsid w:val="002C1428"/>
    <w:rsid w:val="002C1508"/>
    <w:rsid w:val="002C1528"/>
    <w:rsid w:val="002C1835"/>
    <w:rsid w:val="002C19C7"/>
    <w:rsid w:val="002C1AF9"/>
    <w:rsid w:val="002C1EAC"/>
    <w:rsid w:val="002C21C5"/>
    <w:rsid w:val="002C2235"/>
    <w:rsid w:val="002C2274"/>
    <w:rsid w:val="002C22A6"/>
    <w:rsid w:val="002C230C"/>
    <w:rsid w:val="002C2341"/>
    <w:rsid w:val="002C237C"/>
    <w:rsid w:val="002C24CE"/>
    <w:rsid w:val="002C2553"/>
    <w:rsid w:val="002C2558"/>
    <w:rsid w:val="002C258F"/>
    <w:rsid w:val="002C272F"/>
    <w:rsid w:val="002C27FA"/>
    <w:rsid w:val="002C2B45"/>
    <w:rsid w:val="002C2B84"/>
    <w:rsid w:val="002C2D03"/>
    <w:rsid w:val="002C2D53"/>
    <w:rsid w:val="002C2E64"/>
    <w:rsid w:val="002C2F48"/>
    <w:rsid w:val="002C2F6E"/>
    <w:rsid w:val="002C2FB9"/>
    <w:rsid w:val="002C305E"/>
    <w:rsid w:val="002C31B8"/>
    <w:rsid w:val="002C3297"/>
    <w:rsid w:val="002C336F"/>
    <w:rsid w:val="002C3619"/>
    <w:rsid w:val="002C3754"/>
    <w:rsid w:val="002C375F"/>
    <w:rsid w:val="002C37B5"/>
    <w:rsid w:val="002C39C0"/>
    <w:rsid w:val="002C3DA5"/>
    <w:rsid w:val="002C3FB6"/>
    <w:rsid w:val="002C4298"/>
    <w:rsid w:val="002C4328"/>
    <w:rsid w:val="002C4477"/>
    <w:rsid w:val="002C4629"/>
    <w:rsid w:val="002C4635"/>
    <w:rsid w:val="002C472F"/>
    <w:rsid w:val="002C4A4D"/>
    <w:rsid w:val="002C4BD4"/>
    <w:rsid w:val="002C4F15"/>
    <w:rsid w:val="002C4F79"/>
    <w:rsid w:val="002C5089"/>
    <w:rsid w:val="002C51FD"/>
    <w:rsid w:val="002C5297"/>
    <w:rsid w:val="002C529C"/>
    <w:rsid w:val="002C548E"/>
    <w:rsid w:val="002C5781"/>
    <w:rsid w:val="002C57F0"/>
    <w:rsid w:val="002C590A"/>
    <w:rsid w:val="002C594F"/>
    <w:rsid w:val="002C59BA"/>
    <w:rsid w:val="002C59E1"/>
    <w:rsid w:val="002C5A13"/>
    <w:rsid w:val="002C5B93"/>
    <w:rsid w:val="002C5C76"/>
    <w:rsid w:val="002C5D68"/>
    <w:rsid w:val="002C5EB5"/>
    <w:rsid w:val="002C623F"/>
    <w:rsid w:val="002C62AB"/>
    <w:rsid w:val="002C648B"/>
    <w:rsid w:val="002C64B2"/>
    <w:rsid w:val="002C676A"/>
    <w:rsid w:val="002C6770"/>
    <w:rsid w:val="002C6866"/>
    <w:rsid w:val="002C6883"/>
    <w:rsid w:val="002C6FB0"/>
    <w:rsid w:val="002C6FB6"/>
    <w:rsid w:val="002C716B"/>
    <w:rsid w:val="002C71CA"/>
    <w:rsid w:val="002C72D0"/>
    <w:rsid w:val="002C7300"/>
    <w:rsid w:val="002C731D"/>
    <w:rsid w:val="002C74D4"/>
    <w:rsid w:val="002C7677"/>
    <w:rsid w:val="002C7ADC"/>
    <w:rsid w:val="002C7AFC"/>
    <w:rsid w:val="002C7B0E"/>
    <w:rsid w:val="002C7E9B"/>
    <w:rsid w:val="002C7F34"/>
    <w:rsid w:val="002D00DD"/>
    <w:rsid w:val="002D0100"/>
    <w:rsid w:val="002D03FC"/>
    <w:rsid w:val="002D068C"/>
    <w:rsid w:val="002D0693"/>
    <w:rsid w:val="002D0750"/>
    <w:rsid w:val="002D0C77"/>
    <w:rsid w:val="002D0DCB"/>
    <w:rsid w:val="002D10BE"/>
    <w:rsid w:val="002D1353"/>
    <w:rsid w:val="002D1558"/>
    <w:rsid w:val="002D166F"/>
    <w:rsid w:val="002D1739"/>
    <w:rsid w:val="002D18E3"/>
    <w:rsid w:val="002D18F4"/>
    <w:rsid w:val="002D195A"/>
    <w:rsid w:val="002D1F70"/>
    <w:rsid w:val="002D2015"/>
    <w:rsid w:val="002D20F6"/>
    <w:rsid w:val="002D2295"/>
    <w:rsid w:val="002D286E"/>
    <w:rsid w:val="002D28BA"/>
    <w:rsid w:val="002D2981"/>
    <w:rsid w:val="002D2D64"/>
    <w:rsid w:val="002D2D8E"/>
    <w:rsid w:val="002D305E"/>
    <w:rsid w:val="002D3246"/>
    <w:rsid w:val="002D33EC"/>
    <w:rsid w:val="002D3475"/>
    <w:rsid w:val="002D3641"/>
    <w:rsid w:val="002D3730"/>
    <w:rsid w:val="002D3735"/>
    <w:rsid w:val="002D3793"/>
    <w:rsid w:val="002D37F8"/>
    <w:rsid w:val="002D392C"/>
    <w:rsid w:val="002D3AC5"/>
    <w:rsid w:val="002D3D16"/>
    <w:rsid w:val="002D3E26"/>
    <w:rsid w:val="002D3F9C"/>
    <w:rsid w:val="002D4042"/>
    <w:rsid w:val="002D41DA"/>
    <w:rsid w:val="002D4267"/>
    <w:rsid w:val="002D4348"/>
    <w:rsid w:val="002D4388"/>
    <w:rsid w:val="002D4870"/>
    <w:rsid w:val="002D4B59"/>
    <w:rsid w:val="002D4CC2"/>
    <w:rsid w:val="002D4FF1"/>
    <w:rsid w:val="002D5098"/>
    <w:rsid w:val="002D5268"/>
    <w:rsid w:val="002D53BA"/>
    <w:rsid w:val="002D55D0"/>
    <w:rsid w:val="002D573D"/>
    <w:rsid w:val="002D57BF"/>
    <w:rsid w:val="002D5D82"/>
    <w:rsid w:val="002D6008"/>
    <w:rsid w:val="002D6022"/>
    <w:rsid w:val="002D604D"/>
    <w:rsid w:val="002D61F2"/>
    <w:rsid w:val="002D65FC"/>
    <w:rsid w:val="002D6622"/>
    <w:rsid w:val="002D6A7D"/>
    <w:rsid w:val="002D6B8D"/>
    <w:rsid w:val="002D6CE5"/>
    <w:rsid w:val="002D6DD1"/>
    <w:rsid w:val="002D70F4"/>
    <w:rsid w:val="002D726B"/>
    <w:rsid w:val="002D72DF"/>
    <w:rsid w:val="002D7516"/>
    <w:rsid w:val="002D7727"/>
    <w:rsid w:val="002D7839"/>
    <w:rsid w:val="002D783C"/>
    <w:rsid w:val="002D79D1"/>
    <w:rsid w:val="002D79D3"/>
    <w:rsid w:val="002D79E4"/>
    <w:rsid w:val="002D79F9"/>
    <w:rsid w:val="002D7A09"/>
    <w:rsid w:val="002D7AA5"/>
    <w:rsid w:val="002D7D0B"/>
    <w:rsid w:val="002E02A5"/>
    <w:rsid w:val="002E03EA"/>
    <w:rsid w:val="002E0626"/>
    <w:rsid w:val="002E06FE"/>
    <w:rsid w:val="002E07F3"/>
    <w:rsid w:val="002E0861"/>
    <w:rsid w:val="002E088C"/>
    <w:rsid w:val="002E0A18"/>
    <w:rsid w:val="002E0A68"/>
    <w:rsid w:val="002E0AF9"/>
    <w:rsid w:val="002E0E71"/>
    <w:rsid w:val="002E1140"/>
    <w:rsid w:val="002E16C2"/>
    <w:rsid w:val="002E1999"/>
    <w:rsid w:val="002E1AC1"/>
    <w:rsid w:val="002E1C9B"/>
    <w:rsid w:val="002E229B"/>
    <w:rsid w:val="002E2559"/>
    <w:rsid w:val="002E2670"/>
    <w:rsid w:val="002E2842"/>
    <w:rsid w:val="002E28D2"/>
    <w:rsid w:val="002E2A46"/>
    <w:rsid w:val="002E2C00"/>
    <w:rsid w:val="002E2E9A"/>
    <w:rsid w:val="002E30D3"/>
    <w:rsid w:val="002E31DC"/>
    <w:rsid w:val="002E3236"/>
    <w:rsid w:val="002E37EE"/>
    <w:rsid w:val="002E38D7"/>
    <w:rsid w:val="002E3A3A"/>
    <w:rsid w:val="002E3C0F"/>
    <w:rsid w:val="002E3E59"/>
    <w:rsid w:val="002E3F71"/>
    <w:rsid w:val="002E4030"/>
    <w:rsid w:val="002E4117"/>
    <w:rsid w:val="002E4151"/>
    <w:rsid w:val="002E43A5"/>
    <w:rsid w:val="002E4496"/>
    <w:rsid w:val="002E4595"/>
    <w:rsid w:val="002E46C0"/>
    <w:rsid w:val="002E49B8"/>
    <w:rsid w:val="002E49D6"/>
    <w:rsid w:val="002E4B7C"/>
    <w:rsid w:val="002E4CEE"/>
    <w:rsid w:val="002E4D3A"/>
    <w:rsid w:val="002E4D4A"/>
    <w:rsid w:val="002E4E0B"/>
    <w:rsid w:val="002E4E6D"/>
    <w:rsid w:val="002E4FFB"/>
    <w:rsid w:val="002E5065"/>
    <w:rsid w:val="002E5425"/>
    <w:rsid w:val="002E563F"/>
    <w:rsid w:val="002E572F"/>
    <w:rsid w:val="002E579C"/>
    <w:rsid w:val="002E58EE"/>
    <w:rsid w:val="002E5B49"/>
    <w:rsid w:val="002E5F63"/>
    <w:rsid w:val="002E5FED"/>
    <w:rsid w:val="002E622E"/>
    <w:rsid w:val="002E6317"/>
    <w:rsid w:val="002E6535"/>
    <w:rsid w:val="002E65AC"/>
    <w:rsid w:val="002E68F8"/>
    <w:rsid w:val="002E693C"/>
    <w:rsid w:val="002E6B38"/>
    <w:rsid w:val="002E6BA5"/>
    <w:rsid w:val="002E6C14"/>
    <w:rsid w:val="002E6DE4"/>
    <w:rsid w:val="002E6EB2"/>
    <w:rsid w:val="002E6F67"/>
    <w:rsid w:val="002E6FCD"/>
    <w:rsid w:val="002E7252"/>
    <w:rsid w:val="002E76AA"/>
    <w:rsid w:val="002E7776"/>
    <w:rsid w:val="002E79F2"/>
    <w:rsid w:val="002E7AA5"/>
    <w:rsid w:val="002E7AF4"/>
    <w:rsid w:val="002E7AF9"/>
    <w:rsid w:val="002E7B02"/>
    <w:rsid w:val="002E7B8D"/>
    <w:rsid w:val="002E7F6A"/>
    <w:rsid w:val="002E7FEE"/>
    <w:rsid w:val="002F0015"/>
    <w:rsid w:val="002F0197"/>
    <w:rsid w:val="002F029D"/>
    <w:rsid w:val="002F0317"/>
    <w:rsid w:val="002F038C"/>
    <w:rsid w:val="002F051C"/>
    <w:rsid w:val="002F09F0"/>
    <w:rsid w:val="002F0A5D"/>
    <w:rsid w:val="002F0B95"/>
    <w:rsid w:val="002F0C32"/>
    <w:rsid w:val="002F0D78"/>
    <w:rsid w:val="002F1308"/>
    <w:rsid w:val="002F1393"/>
    <w:rsid w:val="002F1594"/>
    <w:rsid w:val="002F17B7"/>
    <w:rsid w:val="002F1B2E"/>
    <w:rsid w:val="002F1B8B"/>
    <w:rsid w:val="002F1C27"/>
    <w:rsid w:val="002F1D94"/>
    <w:rsid w:val="002F1DDB"/>
    <w:rsid w:val="002F1EBB"/>
    <w:rsid w:val="002F1EED"/>
    <w:rsid w:val="002F1FEB"/>
    <w:rsid w:val="002F2072"/>
    <w:rsid w:val="002F2290"/>
    <w:rsid w:val="002F22A2"/>
    <w:rsid w:val="002F238D"/>
    <w:rsid w:val="002F2495"/>
    <w:rsid w:val="002F276F"/>
    <w:rsid w:val="002F2770"/>
    <w:rsid w:val="002F2D2C"/>
    <w:rsid w:val="002F2E14"/>
    <w:rsid w:val="002F2E94"/>
    <w:rsid w:val="002F2EAB"/>
    <w:rsid w:val="002F2EEE"/>
    <w:rsid w:val="002F31CF"/>
    <w:rsid w:val="002F3291"/>
    <w:rsid w:val="002F3578"/>
    <w:rsid w:val="002F3873"/>
    <w:rsid w:val="002F3A1C"/>
    <w:rsid w:val="002F3B45"/>
    <w:rsid w:val="002F3C3A"/>
    <w:rsid w:val="002F3EE9"/>
    <w:rsid w:val="002F3F3A"/>
    <w:rsid w:val="002F42AC"/>
    <w:rsid w:val="002F46DA"/>
    <w:rsid w:val="002F47BE"/>
    <w:rsid w:val="002F4886"/>
    <w:rsid w:val="002F4C7E"/>
    <w:rsid w:val="002F4E00"/>
    <w:rsid w:val="002F505B"/>
    <w:rsid w:val="002F5277"/>
    <w:rsid w:val="002F5290"/>
    <w:rsid w:val="002F52A3"/>
    <w:rsid w:val="002F566E"/>
    <w:rsid w:val="002F5671"/>
    <w:rsid w:val="002F58CF"/>
    <w:rsid w:val="002F5B47"/>
    <w:rsid w:val="002F5C9A"/>
    <w:rsid w:val="002F5E20"/>
    <w:rsid w:val="002F5F02"/>
    <w:rsid w:val="002F5F4E"/>
    <w:rsid w:val="002F6056"/>
    <w:rsid w:val="002F61A7"/>
    <w:rsid w:val="002F62FA"/>
    <w:rsid w:val="002F65E1"/>
    <w:rsid w:val="002F6679"/>
    <w:rsid w:val="002F6714"/>
    <w:rsid w:val="002F69DD"/>
    <w:rsid w:val="002F6A6D"/>
    <w:rsid w:val="002F6BB5"/>
    <w:rsid w:val="002F6C86"/>
    <w:rsid w:val="002F734D"/>
    <w:rsid w:val="002F7366"/>
    <w:rsid w:val="002F75F0"/>
    <w:rsid w:val="002F7761"/>
    <w:rsid w:val="002F7808"/>
    <w:rsid w:val="002F78C3"/>
    <w:rsid w:val="002F79D3"/>
    <w:rsid w:val="002F7A0A"/>
    <w:rsid w:val="002F7A11"/>
    <w:rsid w:val="002F7ADD"/>
    <w:rsid w:val="002F7AF1"/>
    <w:rsid w:val="002F7C9B"/>
    <w:rsid w:val="002F7D6B"/>
    <w:rsid w:val="00300077"/>
    <w:rsid w:val="00300094"/>
    <w:rsid w:val="0030015E"/>
    <w:rsid w:val="0030019F"/>
    <w:rsid w:val="00300239"/>
    <w:rsid w:val="00300332"/>
    <w:rsid w:val="003004A4"/>
    <w:rsid w:val="003004C5"/>
    <w:rsid w:val="00300527"/>
    <w:rsid w:val="0030075A"/>
    <w:rsid w:val="003007A1"/>
    <w:rsid w:val="00300838"/>
    <w:rsid w:val="00300868"/>
    <w:rsid w:val="00300D20"/>
    <w:rsid w:val="00300D31"/>
    <w:rsid w:val="0030105F"/>
    <w:rsid w:val="003011B0"/>
    <w:rsid w:val="003014E4"/>
    <w:rsid w:val="00301549"/>
    <w:rsid w:val="003017AD"/>
    <w:rsid w:val="003018E4"/>
    <w:rsid w:val="00301ADD"/>
    <w:rsid w:val="00301EB9"/>
    <w:rsid w:val="00301EED"/>
    <w:rsid w:val="00301F7D"/>
    <w:rsid w:val="0030206F"/>
    <w:rsid w:val="0030218E"/>
    <w:rsid w:val="003022F7"/>
    <w:rsid w:val="0030230E"/>
    <w:rsid w:val="00302577"/>
    <w:rsid w:val="00302601"/>
    <w:rsid w:val="0030272F"/>
    <w:rsid w:val="003027B4"/>
    <w:rsid w:val="003027D1"/>
    <w:rsid w:val="00302B94"/>
    <w:rsid w:val="00302D2F"/>
    <w:rsid w:val="00302D83"/>
    <w:rsid w:val="00302E1E"/>
    <w:rsid w:val="00302E3F"/>
    <w:rsid w:val="00302E73"/>
    <w:rsid w:val="00302F7D"/>
    <w:rsid w:val="003034F7"/>
    <w:rsid w:val="003036D2"/>
    <w:rsid w:val="00303726"/>
    <w:rsid w:val="00303927"/>
    <w:rsid w:val="00303AA2"/>
    <w:rsid w:val="00303D7E"/>
    <w:rsid w:val="00303F50"/>
    <w:rsid w:val="00303FFF"/>
    <w:rsid w:val="0030421C"/>
    <w:rsid w:val="0030425C"/>
    <w:rsid w:val="00304385"/>
    <w:rsid w:val="0030447F"/>
    <w:rsid w:val="003044B8"/>
    <w:rsid w:val="0030467D"/>
    <w:rsid w:val="00304789"/>
    <w:rsid w:val="003049C7"/>
    <w:rsid w:val="00304E1A"/>
    <w:rsid w:val="00304FC2"/>
    <w:rsid w:val="00304FDF"/>
    <w:rsid w:val="0030504D"/>
    <w:rsid w:val="003051DD"/>
    <w:rsid w:val="003052B6"/>
    <w:rsid w:val="00305314"/>
    <w:rsid w:val="00305546"/>
    <w:rsid w:val="003058B9"/>
    <w:rsid w:val="00305D24"/>
    <w:rsid w:val="00305D45"/>
    <w:rsid w:val="00305F47"/>
    <w:rsid w:val="00305FBD"/>
    <w:rsid w:val="00306364"/>
    <w:rsid w:val="0030649C"/>
    <w:rsid w:val="0030688A"/>
    <w:rsid w:val="00306A7E"/>
    <w:rsid w:val="00306BB1"/>
    <w:rsid w:val="00306CA7"/>
    <w:rsid w:val="00306D35"/>
    <w:rsid w:val="00306DAD"/>
    <w:rsid w:val="00306FFC"/>
    <w:rsid w:val="0030704D"/>
    <w:rsid w:val="0030707C"/>
    <w:rsid w:val="00307089"/>
    <w:rsid w:val="003070F5"/>
    <w:rsid w:val="00307110"/>
    <w:rsid w:val="00307262"/>
    <w:rsid w:val="00307366"/>
    <w:rsid w:val="0030743D"/>
    <w:rsid w:val="003074EB"/>
    <w:rsid w:val="00307727"/>
    <w:rsid w:val="0030780B"/>
    <w:rsid w:val="0030791B"/>
    <w:rsid w:val="00307D7B"/>
    <w:rsid w:val="00307E8A"/>
    <w:rsid w:val="0031008D"/>
    <w:rsid w:val="0031029F"/>
    <w:rsid w:val="00310403"/>
    <w:rsid w:val="00310489"/>
    <w:rsid w:val="00310495"/>
    <w:rsid w:val="003108D6"/>
    <w:rsid w:val="003109C2"/>
    <w:rsid w:val="00310A2A"/>
    <w:rsid w:val="00310BAA"/>
    <w:rsid w:val="00310CC9"/>
    <w:rsid w:val="00310CCD"/>
    <w:rsid w:val="00310D17"/>
    <w:rsid w:val="00310DBA"/>
    <w:rsid w:val="00310E9F"/>
    <w:rsid w:val="00310ED4"/>
    <w:rsid w:val="00310F02"/>
    <w:rsid w:val="00310F23"/>
    <w:rsid w:val="00310F69"/>
    <w:rsid w:val="0031101F"/>
    <w:rsid w:val="003112C8"/>
    <w:rsid w:val="003112E5"/>
    <w:rsid w:val="003113C6"/>
    <w:rsid w:val="0031152C"/>
    <w:rsid w:val="003115AC"/>
    <w:rsid w:val="0031195E"/>
    <w:rsid w:val="003119BC"/>
    <w:rsid w:val="00311A1A"/>
    <w:rsid w:val="00311ED1"/>
    <w:rsid w:val="00312071"/>
    <w:rsid w:val="003120A2"/>
    <w:rsid w:val="003123A7"/>
    <w:rsid w:val="0031259A"/>
    <w:rsid w:val="00312DBB"/>
    <w:rsid w:val="00312F06"/>
    <w:rsid w:val="00312FE1"/>
    <w:rsid w:val="00313288"/>
    <w:rsid w:val="00313424"/>
    <w:rsid w:val="003134A4"/>
    <w:rsid w:val="0031359F"/>
    <w:rsid w:val="0031365B"/>
    <w:rsid w:val="003136B0"/>
    <w:rsid w:val="00313728"/>
    <w:rsid w:val="0031396C"/>
    <w:rsid w:val="00313B5E"/>
    <w:rsid w:val="00313F23"/>
    <w:rsid w:val="00313FA6"/>
    <w:rsid w:val="00314069"/>
    <w:rsid w:val="003142F7"/>
    <w:rsid w:val="00314348"/>
    <w:rsid w:val="003144B9"/>
    <w:rsid w:val="003146C3"/>
    <w:rsid w:val="003146D8"/>
    <w:rsid w:val="003146F5"/>
    <w:rsid w:val="0031493F"/>
    <w:rsid w:val="00314F9D"/>
    <w:rsid w:val="003151A7"/>
    <w:rsid w:val="003151EE"/>
    <w:rsid w:val="00315350"/>
    <w:rsid w:val="003155EF"/>
    <w:rsid w:val="003156E1"/>
    <w:rsid w:val="00315911"/>
    <w:rsid w:val="00315A94"/>
    <w:rsid w:val="00315BF0"/>
    <w:rsid w:val="00315C86"/>
    <w:rsid w:val="00315D85"/>
    <w:rsid w:val="0031630A"/>
    <w:rsid w:val="00316504"/>
    <w:rsid w:val="0031664B"/>
    <w:rsid w:val="003166A4"/>
    <w:rsid w:val="0031679B"/>
    <w:rsid w:val="003167C4"/>
    <w:rsid w:val="00316B7C"/>
    <w:rsid w:val="00316CCC"/>
    <w:rsid w:val="00316D24"/>
    <w:rsid w:val="00316E23"/>
    <w:rsid w:val="00316E80"/>
    <w:rsid w:val="00317010"/>
    <w:rsid w:val="0031739D"/>
    <w:rsid w:val="003173AC"/>
    <w:rsid w:val="003174CE"/>
    <w:rsid w:val="0031769D"/>
    <w:rsid w:val="00317706"/>
    <w:rsid w:val="003177DF"/>
    <w:rsid w:val="00317879"/>
    <w:rsid w:val="00317A28"/>
    <w:rsid w:val="00320348"/>
    <w:rsid w:val="0032050E"/>
    <w:rsid w:val="0032056C"/>
    <w:rsid w:val="00320594"/>
    <w:rsid w:val="0032070F"/>
    <w:rsid w:val="003207DB"/>
    <w:rsid w:val="0032093F"/>
    <w:rsid w:val="00320AF5"/>
    <w:rsid w:val="00320BA6"/>
    <w:rsid w:val="00320BDB"/>
    <w:rsid w:val="00320DCD"/>
    <w:rsid w:val="003210C8"/>
    <w:rsid w:val="003210F5"/>
    <w:rsid w:val="0032116F"/>
    <w:rsid w:val="00321171"/>
    <w:rsid w:val="003211A3"/>
    <w:rsid w:val="003211C3"/>
    <w:rsid w:val="0032129E"/>
    <w:rsid w:val="003214C9"/>
    <w:rsid w:val="00321908"/>
    <w:rsid w:val="00321965"/>
    <w:rsid w:val="003219AB"/>
    <w:rsid w:val="00321B26"/>
    <w:rsid w:val="00321E88"/>
    <w:rsid w:val="00322124"/>
    <w:rsid w:val="00322204"/>
    <w:rsid w:val="00322520"/>
    <w:rsid w:val="00322762"/>
    <w:rsid w:val="003228CF"/>
    <w:rsid w:val="00322981"/>
    <w:rsid w:val="00322A30"/>
    <w:rsid w:val="00322B04"/>
    <w:rsid w:val="00322B12"/>
    <w:rsid w:val="00322D9D"/>
    <w:rsid w:val="00322E17"/>
    <w:rsid w:val="00323055"/>
    <w:rsid w:val="00323194"/>
    <w:rsid w:val="0032319B"/>
    <w:rsid w:val="00323223"/>
    <w:rsid w:val="003234EA"/>
    <w:rsid w:val="0032390F"/>
    <w:rsid w:val="00323944"/>
    <w:rsid w:val="00323B57"/>
    <w:rsid w:val="00323C60"/>
    <w:rsid w:val="00323D88"/>
    <w:rsid w:val="00324174"/>
    <w:rsid w:val="00324185"/>
    <w:rsid w:val="00324287"/>
    <w:rsid w:val="003242B2"/>
    <w:rsid w:val="00324317"/>
    <w:rsid w:val="003244F5"/>
    <w:rsid w:val="003244F9"/>
    <w:rsid w:val="003245CF"/>
    <w:rsid w:val="003245D2"/>
    <w:rsid w:val="003246D3"/>
    <w:rsid w:val="00324763"/>
    <w:rsid w:val="003248ED"/>
    <w:rsid w:val="00324919"/>
    <w:rsid w:val="0032495F"/>
    <w:rsid w:val="003249E9"/>
    <w:rsid w:val="00324A1D"/>
    <w:rsid w:val="00324EFC"/>
    <w:rsid w:val="00324F92"/>
    <w:rsid w:val="003250A6"/>
    <w:rsid w:val="003255EE"/>
    <w:rsid w:val="0032561A"/>
    <w:rsid w:val="00325729"/>
    <w:rsid w:val="003259D4"/>
    <w:rsid w:val="00325ABD"/>
    <w:rsid w:val="00325ACE"/>
    <w:rsid w:val="00325B95"/>
    <w:rsid w:val="00325BBC"/>
    <w:rsid w:val="00325C46"/>
    <w:rsid w:val="00325D81"/>
    <w:rsid w:val="00325EC8"/>
    <w:rsid w:val="0032612A"/>
    <w:rsid w:val="0032640A"/>
    <w:rsid w:val="00326450"/>
    <w:rsid w:val="003264CE"/>
    <w:rsid w:val="00326688"/>
    <w:rsid w:val="0032672F"/>
    <w:rsid w:val="00326948"/>
    <w:rsid w:val="0032698F"/>
    <w:rsid w:val="00326CB5"/>
    <w:rsid w:val="00326DD2"/>
    <w:rsid w:val="00326F68"/>
    <w:rsid w:val="003272D7"/>
    <w:rsid w:val="003273C0"/>
    <w:rsid w:val="0032745D"/>
    <w:rsid w:val="003276D2"/>
    <w:rsid w:val="00327A28"/>
    <w:rsid w:val="00327AC4"/>
    <w:rsid w:val="00327BE0"/>
    <w:rsid w:val="00327BE4"/>
    <w:rsid w:val="0033002A"/>
    <w:rsid w:val="00330168"/>
    <w:rsid w:val="00330263"/>
    <w:rsid w:val="003302DD"/>
    <w:rsid w:val="003303B1"/>
    <w:rsid w:val="00330670"/>
    <w:rsid w:val="0033094A"/>
    <w:rsid w:val="003309C3"/>
    <w:rsid w:val="00330C34"/>
    <w:rsid w:val="00330EBF"/>
    <w:rsid w:val="00330F5B"/>
    <w:rsid w:val="00330F74"/>
    <w:rsid w:val="0033118A"/>
    <w:rsid w:val="00331244"/>
    <w:rsid w:val="00331350"/>
    <w:rsid w:val="003313F5"/>
    <w:rsid w:val="0033151D"/>
    <w:rsid w:val="00331940"/>
    <w:rsid w:val="00331B71"/>
    <w:rsid w:val="00331E64"/>
    <w:rsid w:val="00332030"/>
    <w:rsid w:val="00332064"/>
    <w:rsid w:val="003320DF"/>
    <w:rsid w:val="00332166"/>
    <w:rsid w:val="0033225A"/>
    <w:rsid w:val="0033230C"/>
    <w:rsid w:val="00332406"/>
    <w:rsid w:val="00332521"/>
    <w:rsid w:val="00332658"/>
    <w:rsid w:val="00332693"/>
    <w:rsid w:val="00332771"/>
    <w:rsid w:val="003327C9"/>
    <w:rsid w:val="00332AEA"/>
    <w:rsid w:val="00332B62"/>
    <w:rsid w:val="00333178"/>
    <w:rsid w:val="003331F7"/>
    <w:rsid w:val="003332E6"/>
    <w:rsid w:val="003332F5"/>
    <w:rsid w:val="00333313"/>
    <w:rsid w:val="0033349D"/>
    <w:rsid w:val="003335E5"/>
    <w:rsid w:val="00333699"/>
    <w:rsid w:val="0033375F"/>
    <w:rsid w:val="003337DC"/>
    <w:rsid w:val="003338F6"/>
    <w:rsid w:val="003339E7"/>
    <w:rsid w:val="00333A3E"/>
    <w:rsid w:val="00333A3F"/>
    <w:rsid w:val="00333F05"/>
    <w:rsid w:val="00333FAF"/>
    <w:rsid w:val="003340B5"/>
    <w:rsid w:val="00334196"/>
    <w:rsid w:val="00334887"/>
    <w:rsid w:val="0033498B"/>
    <w:rsid w:val="00334BB0"/>
    <w:rsid w:val="003350CB"/>
    <w:rsid w:val="0033511B"/>
    <w:rsid w:val="003352AB"/>
    <w:rsid w:val="003352CA"/>
    <w:rsid w:val="003352D1"/>
    <w:rsid w:val="003353AC"/>
    <w:rsid w:val="0033541A"/>
    <w:rsid w:val="0033569A"/>
    <w:rsid w:val="00335735"/>
    <w:rsid w:val="0033578D"/>
    <w:rsid w:val="003357F3"/>
    <w:rsid w:val="0033598D"/>
    <w:rsid w:val="00335C64"/>
    <w:rsid w:val="00335C77"/>
    <w:rsid w:val="00335DB2"/>
    <w:rsid w:val="00335EAA"/>
    <w:rsid w:val="00335F1D"/>
    <w:rsid w:val="0033608D"/>
    <w:rsid w:val="0033618B"/>
    <w:rsid w:val="003362DD"/>
    <w:rsid w:val="0033659C"/>
    <w:rsid w:val="003365E2"/>
    <w:rsid w:val="003368AF"/>
    <w:rsid w:val="00336A7F"/>
    <w:rsid w:val="00336B15"/>
    <w:rsid w:val="00336B20"/>
    <w:rsid w:val="00336BF5"/>
    <w:rsid w:val="00336D6E"/>
    <w:rsid w:val="00336E1B"/>
    <w:rsid w:val="00336F10"/>
    <w:rsid w:val="00336F23"/>
    <w:rsid w:val="0033716B"/>
    <w:rsid w:val="00337829"/>
    <w:rsid w:val="00337981"/>
    <w:rsid w:val="00337C31"/>
    <w:rsid w:val="0034026A"/>
    <w:rsid w:val="00340383"/>
    <w:rsid w:val="003406E4"/>
    <w:rsid w:val="0034077C"/>
    <w:rsid w:val="0034082B"/>
    <w:rsid w:val="00340904"/>
    <w:rsid w:val="00340B4F"/>
    <w:rsid w:val="00340E83"/>
    <w:rsid w:val="00340E8E"/>
    <w:rsid w:val="00341009"/>
    <w:rsid w:val="00341054"/>
    <w:rsid w:val="00341059"/>
    <w:rsid w:val="003412E2"/>
    <w:rsid w:val="003417FB"/>
    <w:rsid w:val="0034194D"/>
    <w:rsid w:val="00341973"/>
    <w:rsid w:val="00341B7A"/>
    <w:rsid w:val="00341CE6"/>
    <w:rsid w:val="00341D62"/>
    <w:rsid w:val="00341DC9"/>
    <w:rsid w:val="00341E21"/>
    <w:rsid w:val="00341F36"/>
    <w:rsid w:val="003421FC"/>
    <w:rsid w:val="00342235"/>
    <w:rsid w:val="00342404"/>
    <w:rsid w:val="003426AD"/>
    <w:rsid w:val="003426DB"/>
    <w:rsid w:val="00342901"/>
    <w:rsid w:val="00342912"/>
    <w:rsid w:val="00342A00"/>
    <w:rsid w:val="00342B43"/>
    <w:rsid w:val="00342D6F"/>
    <w:rsid w:val="003431ED"/>
    <w:rsid w:val="0034323D"/>
    <w:rsid w:val="003432AA"/>
    <w:rsid w:val="0034335E"/>
    <w:rsid w:val="003433CD"/>
    <w:rsid w:val="003433F1"/>
    <w:rsid w:val="00343470"/>
    <w:rsid w:val="0034347C"/>
    <w:rsid w:val="00343531"/>
    <w:rsid w:val="00343654"/>
    <w:rsid w:val="00343664"/>
    <w:rsid w:val="003437B0"/>
    <w:rsid w:val="003437F4"/>
    <w:rsid w:val="003439F9"/>
    <w:rsid w:val="00343B7A"/>
    <w:rsid w:val="00343CEE"/>
    <w:rsid w:val="00343DC9"/>
    <w:rsid w:val="00344060"/>
    <w:rsid w:val="00344226"/>
    <w:rsid w:val="0034439E"/>
    <w:rsid w:val="0034441C"/>
    <w:rsid w:val="003445E8"/>
    <w:rsid w:val="00344986"/>
    <w:rsid w:val="00344C56"/>
    <w:rsid w:val="00344CD2"/>
    <w:rsid w:val="00344E44"/>
    <w:rsid w:val="00345169"/>
    <w:rsid w:val="0034519B"/>
    <w:rsid w:val="00345565"/>
    <w:rsid w:val="003455F5"/>
    <w:rsid w:val="0034566B"/>
    <w:rsid w:val="0034581F"/>
    <w:rsid w:val="00345856"/>
    <w:rsid w:val="00345907"/>
    <w:rsid w:val="00345CFE"/>
    <w:rsid w:val="00345D77"/>
    <w:rsid w:val="00345D7D"/>
    <w:rsid w:val="0034617A"/>
    <w:rsid w:val="003461DC"/>
    <w:rsid w:val="00346210"/>
    <w:rsid w:val="00346413"/>
    <w:rsid w:val="00346464"/>
    <w:rsid w:val="00346467"/>
    <w:rsid w:val="0034651F"/>
    <w:rsid w:val="0034666A"/>
    <w:rsid w:val="0034691A"/>
    <w:rsid w:val="00346A10"/>
    <w:rsid w:val="00346B96"/>
    <w:rsid w:val="00346C7E"/>
    <w:rsid w:val="00346ECD"/>
    <w:rsid w:val="003472B4"/>
    <w:rsid w:val="00347AC1"/>
    <w:rsid w:val="00347C6E"/>
    <w:rsid w:val="00350022"/>
    <w:rsid w:val="0035014D"/>
    <w:rsid w:val="003503BA"/>
    <w:rsid w:val="00350514"/>
    <w:rsid w:val="00350658"/>
    <w:rsid w:val="0035066A"/>
    <w:rsid w:val="0035090C"/>
    <w:rsid w:val="00350B84"/>
    <w:rsid w:val="00350BB6"/>
    <w:rsid w:val="00350DEF"/>
    <w:rsid w:val="00350E79"/>
    <w:rsid w:val="00350F81"/>
    <w:rsid w:val="003510BC"/>
    <w:rsid w:val="003511EA"/>
    <w:rsid w:val="003511EF"/>
    <w:rsid w:val="00351514"/>
    <w:rsid w:val="00351645"/>
    <w:rsid w:val="00351A6B"/>
    <w:rsid w:val="00351A75"/>
    <w:rsid w:val="00351AB0"/>
    <w:rsid w:val="00351B5D"/>
    <w:rsid w:val="00351CA7"/>
    <w:rsid w:val="00352020"/>
    <w:rsid w:val="00352056"/>
    <w:rsid w:val="003520C7"/>
    <w:rsid w:val="00352190"/>
    <w:rsid w:val="00352280"/>
    <w:rsid w:val="00352299"/>
    <w:rsid w:val="0035253B"/>
    <w:rsid w:val="003527C0"/>
    <w:rsid w:val="003527D8"/>
    <w:rsid w:val="00352A2B"/>
    <w:rsid w:val="00352A5F"/>
    <w:rsid w:val="00352B38"/>
    <w:rsid w:val="00352BEA"/>
    <w:rsid w:val="00352D84"/>
    <w:rsid w:val="00352DE6"/>
    <w:rsid w:val="00352F2D"/>
    <w:rsid w:val="00353217"/>
    <w:rsid w:val="00353538"/>
    <w:rsid w:val="0035366D"/>
    <w:rsid w:val="00353673"/>
    <w:rsid w:val="003536A8"/>
    <w:rsid w:val="00353865"/>
    <w:rsid w:val="00353940"/>
    <w:rsid w:val="00353C34"/>
    <w:rsid w:val="00353C57"/>
    <w:rsid w:val="00353F39"/>
    <w:rsid w:val="00353F8F"/>
    <w:rsid w:val="0035403E"/>
    <w:rsid w:val="00354178"/>
    <w:rsid w:val="00354319"/>
    <w:rsid w:val="00354523"/>
    <w:rsid w:val="00354952"/>
    <w:rsid w:val="00354A1C"/>
    <w:rsid w:val="00354A82"/>
    <w:rsid w:val="00354E49"/>
    <w:rsid w:val="00354EBF"/>
    <w:rsid w:val="00354F21"/>
    <w:rsid w:val="0035508D"/>
    <w:rsid w:val="00355131"/>
    <w:rsid w:val="00355170"/>
    <w:rsid w:val="003551C1"/>
    <w:rsid w:val="003554AE"/>
    <w:rsid w:val="003554EB"/>
    <w:rsid w:val="0035563D"/>
    <w:rsid w:val="003556B1"/>
    <w:rsid w:val="0035573B"/>
    <w:rsid w:val="003558C4"/>
    <w:rsid w:val="00355909"/>
    <w:rsid w:val="00355BC5"/>
    <w:rsid w:val="00355C45"/>
    <w:rsid w:val="00355D3F"/>
    <w:rsid w:val="00355D48"/>
    <w:rsid w:val="00356250"/>
    <w:rsid w:val="003565BC"/>
    <w:rsid w:val="003567B2"/>
    <w:rsid w:val="0035688F"/>
    <w:rsid w:val="003569AF"/>
    <w:rsid w:val="00356BC1"/>
    <w:rsid w:val="00356C15"/>
    <w:rsid w:val="00356C52"/>
    <w:rsid w:val="00356D48"/>
    <w:rsid w:val="00356F59"/>
    <w:rsid w:val="00356F64"/>
    <w:rsid w:val="00357470"/>
    <w:rsid w:val="003574CE"/>
    <w:rsid w:val="003574EF"/>
    <w:rsid w:val="00357827"/>
    <w:rsid w:val="003578FA"/>
    <w:rsid w:val="00357BFC"/>
    <w:rsid w:val="00357F16"/>
    <w:rsid w:val="00357F4B"/>
    <w:rsid w:val="003601FC"/>
    <w:rsid w:val="00360302"/>
    <w:rsid w:val="003604A9"/>
    <w:rsid w:val="0036073F"/>
    <w:rsid w:val="003607D7"/>
    <w:rsid w:val="00360850"/>
    <w:rsid w:val="00360C45"/>
    <w:rsid w:val="00360C5B"/>
    <w:rsid w:val="00360C7C"/>
    <w:rsid w:val="00360CAB"/>
    <w:rsid w:val="00360E69"/>
    <w:rsid w:val="00360ED1"/>
    <w:rsid w:val="00360FC5"/>
    <w:rsid w:val="00361028"/>
    <w:rsid w:val="0036109A"/>
    <w:rsid w:val="003611D5"/>
    <w:rsid w:val="00361265"/>
    <w:rsid w:val="0036133D"/>
    <w:rsid w:val="00361610"/>
    <w:rsid w:val="0036166A"/>
    <w:rsid w:val="0036175D"/>
    <w:rsid w:val="0036194E"/>
    <w:rsid w:val="00361D53"/>
    <w:rsid w:val="00361E11"/>
    <w:rsid w:val="00361E79"/>
    <w:rsid w:val="0036201B"/>
    <w:rsid w:val="0036205A"/>
    <w:rsid w:val="00362067"/>
    <w:rsid w:val="003620BD"/>
    <w:rsid w:val="0036218B"/>
    <w:rsid w:val="00362389"/>
    <w:rsid w:val="0036255E"/>
    <w:rsid w:val="003625D7"/>
    <w:rsid w:val="003627F3"/>
    <w:rsid w:val="00362878"/>
    <w:rsid w:val="00362B8C"/>
    <w:rsid w:val="00362BF6"/>
    <w:rsid w:val="00362CD6"/>
    <w:rsid w:val="00362F04"/>
    <w:rsid w:val="00363057"/>
    <w:rsid w:val="0036320C"/>
    <w:rsid w:val="0036330E"/>
    <w:rsid w:val="00363459"/>
    <w:rsid w:val="0036358B"/>
    <w:rsid w:val="00363656"/>
    <w:rsid w:val="00363727"/>
    <w:rsid w:val="0036374B"/>
    <w:rsid w:val="003637F1"/>
    <w:rsid w:val="003637F5"/>
    <w:rsid w:val="00363A22"/>
    <w:rsid w:val="00363C22"/>
    <w:rsid w:val="00363C5F"/>
    <w:rsid w:val="00363C70"/>
    <w:rsid w:val="00363D1E"/>
    <w:rsid w:val="00363F56"/>
    <w:rsid w:val="0036402A"/>
    <w:rsid w:val="003641C3"/>
    <w:rsid w:val="003641C8"/>
    <w:rsid w:val="0036440E"/>
    <w:rsid w:val="00364583"/>
    <w:rsid w:val="00364933"/>
    <w:rsid w:val="00364AFA"/>
    <w:rsid w:val="00364E11"/>
    <w:rsid w:val="00364F04"/>
    <w:rsid w:val="00364F70"/>
    <w:rsid w:val="00365005"/>
    <w:rsid w:val="00365085"/>
    <w:rsid w:val="0036534C"/>
    <w:rsid w:val="003653F3"/>
    <w:rsid w:val="00365537"/>
    <w:rsid w:val="0036568D"/>
    <w:rsid w:val="00365696"/>
    <w:rsid w:val="00365A38"/>
    <w:rsid w:val="00365ABF"/>
    <w:rsid w:val="00365CEC"/>
    <w:rsid w:val="00365E6B"/>
    <w:rsid w:val="00365EC3"/>
    <w:rsid w:val="00366695"/>
    <w:rsid w:val="0036672D"/>
    <w:rsid w:val="00366C03"/>
    <w:rsid w:val="00366C38"/>
    <w:rsid w:val="00366DE7"/>
    <w:rsid w:val="00366EE2"/>
    <w:rsid w:val="00366FB7"/>
    <w:rsid w:val="00366FDA"/>
    <w:rsid w:val="00367372"/>
    <w:rsid w:val="003673CC"/>
    <w:rsid w:val="00367488"/>
    <w:rsid w:val="00367496"/>
    <w:rsid w:val="003678E0"/>
    <w:rsid w:val="00367A05"/>
    <w:rsid w:val="00367A3E"/>
    <w:rsid w:val="00367B05"/>
    <w:rsid w:val="00367EC3"/>
    <w:rsid w:val="00367FBA"/>
    <w:rsid w:val="003700E8"/>
    <w:rsid w:val="003701BE"/>
    <w:rsid w:val="00370235"/>
    <w:rsid w:val="00370323"/>
    <w:rsid w:val="0037047C"/>
    <w:rsid w:val="003704AB"/>
    <w:rsid w:val="00370573"/>
    <w:rsid w:val="003705B1"/>
    <w:rsid w:val="00370784"/>
    <w:rsid w:val="0037080B"/>
    <w:rsid w:val="00370870"/>
    <w:rsid w:val="003708A1"/>
    <w:rsid w:val="003708B9"/>
    <w:rsid w:val="00370ACF"/>
    <w:rsid w:val="00370B22"/>
    <w:rsid w:val="00370B5A"/>
    <w:rsid w:val="00370D14"/>
    <w:rsid w:val="00370FBD"/>
    <w:rsid w:val="003711E6"/>
    <w:rsid w:val="0037138A"/>
    <w:rsid w:val="0037141C"/>
    <w:rsid w:val="00371561"/>
    <w:rsid w:val="0037168E"/>
    <w:rsid w:val="003716CC"/>
    <w:rsid w:val="0037173A"/>
    <w:rsid w:val="00371911"/>
    <w:rsid w:val="00371934"/>
    <w:rsid w:val="00371ACE"/>
    <w:rsid w:val="00371B36"/>
    <w:rsid w:val="00371B3C"/>
    <w:rsid w:val="00371C31"/>
    <w:rsid w:val="00371E6D"/>
    <w:rsid w:val="00371F31"/>
    <w:rsid w:val="003720F0"/>
    <w:rsid w:val="0037229D"/>
    <w:rsid w:val="0037242C"/>
    <w:rsid w:val="00372642"/>
    <w:rsid w:val="00372673"/>
    <w:rsid w:val="00372695"/>
    <w:rsid w:val="003726D3"/>
    <w:rsid w:val="00372734"/>
    <w:rsid w:val="0037278D"/>
    <w:rsid w:val="003727CA"/>
    <w:rsid w:val="00372A85"/>
    <w:rsid w:val="00372A9F"/>
    <w:rsid w:val="00372B80"/>
    <w:rsid w:val="00372CE9"/>
    <w:rsid w:val="00372CFA"/>
    <w:rsid w:val="00372D87"/>
    <w:rsid w:val="0037309A"/>
    <w:rsid w:val="0037363B"/>
    <w:rsid w:val="003738AC"/>
    <w:rsid w:val="00373A5B"/>
    <w:rsid w:val="00373AC8"/>
    <w:rsid w:val="00373B5F"/>
    <w:rsid w:val="00373BBC"/>
    <w:rsid w:val="00373CFD"/>
    <w:rsid w:val="0037409C"/>
    <w:rsid w:val="003742F8"/>
    <w:rsid w:val="00374660"/>
    <w:rsid w:val="003747AF"/>
    <w:rsid w:val="003747BD"/>
    <w:rsid w:val="00374960"/>
    <w:rsid w:val="00374B78"/>
    <w:rsid w:val="00374C40"/>
    <w:rsid w:val="00374C9C"/>
    <w:rsid w:val="00374CDD"/>
    <w:rsid w:val="00374D74"/>
    <w:rsid w:val="00374E0B"/>
    <w:rsid w:val="00375013"/>
    <w:rsid w:val="003751BC"/>
    <w:rsid w:val="0037536D"/>
    <w:rsid w:val="0037537C"/>
    <w:rsid w:val="00375436"/>
    <w:rsid w:val="0037546C"/>
    <w:rsid w:val="00375534"/>
    <w:rsid w:val="00375592"/>
    <w:rsid w:val="0037561C"/>
    <w:rsid w:val="00375663"/>
    <w:rsid w:val="0037599C"/>
    <w:rsid w:val="00375AA4"/>
    <w:rsid w:val="00375AEB"/>
    <w:rsid w:val="00375B0C"/>
    <w:rsid w:val="00375C14"/>
    <w:rsid w:val="00375D40"/>
    <w:rsid w:val="00375D6D"/>
    <w:rsid w:val="00375EE7"/>
    <w:rsid w:val="00375F8C"/>
    <w:rsid w:val="00375FCD"/>
    <w:rsid w:val="00375FEA"/>
    <w:rsid w:val="00376003"/>
    <w:rsid w:val="0037601E"/>
    <w:rsid w:val="0037606B"/>
    <w:rsid w:val="00376461"/>
    <w:rsid w:val="00376601"/>
    <w:rsid w:val="003767A8"/>
    <w:rsid w:val="0037685A"/>
    <w:rsid w:val="00376872"/>
    <w:rsid w:val="003768F8"/>
    <w:rsid w:val="00376BF5"/>
    <w:rsid w:val="00376C47"/>
    <w:rsid w:val="00376D6B"/>
    <w:rsid w:val="00376E45"/>
    <w:rsid w:val="00377019"/>
    <w:rsid w:val="00377037"/>
    <w:rsid w:val="003770A7"/>
    <w:rsid w:val="00377150"/>
    <w:rsid w:val="003771E4"/>
    <w:rsid w:val="00377243"/>
    <w:rsid w:val="00377394"/>
    <w:rsid w:val="00377642"/>
    <w:rsid w:val="0037764C"/>
    <w:rsid w:val="0037778E"/>
    <w:rsid w:val="003777AD"/>
    <w:rsid w:val="003779EA"/>
    <w:rsid w:val="00377A7D"/>
    <w:rsid w:val="00377C28"/>
    <w:rsid w:val="00377E09"/>
    <w:rsid w:val="00380076"/>
    <w:rsid w:val="003800B2"/>
    <w:rsid w:val="003800E5"/>
    <w:rsid w:val="003800F1"/>
    <w:rsid w:val="00380128"/>
    <w:rsid w:val="00380197"/>
    <w:rsid w:val="003802D8"/>
    <w:rsid w:val="00380981"/>
    <w:rsid w:val="00380BB6"/>
    <w:rsid w:val="00380CAB"/>
    <w:rsid w:val="00380E26"/>
    <w:rsid w:val="00380E94"/>
    <w:rsid w:val="00380E97"/>
    <w:rsid w:val="00380FA6"/>
    <w:rsid w:val="0038130A"/>
    <w:rsid w:val="0038149C"/>
    <w:rsid w:val="00381546"/>
    <w:rsid w:val="00381A6C"/>
    <w:rsid w:val="00381CFD"/>
    <w:rsid w:val="00381DB3"/>
    <w:rsid w:val="00381E93"/>
    <w:rsid w:val="00381ECF"/>
    <w:rsid w:val="00381F3D"/>
    <w:rsid w:val="0038208C"/>
    <w:rsid w:val="003820FC"/>
    <w:rsid w:val="003822F0"/>
    <w:rsid w:val="003823C6"/>
    <w:rsid w:val="003823CD"/>
    <w:rsid w:val="00382AAB"/>
    <w:rsid w:val="00382AE6"/>
    <w:rsid w:val="00382B57"/>
    <w:rsid w:val="00382BA5"/>
    <w:rsid w:val="00382D17"/>
    <w:rsid w:val="00382D62"/>
    <w:rsid w:val="00382E1B"/>
    <w:rsid w:val="00382E8E"/>
    <w:rsid w:val="00382EDD"/>
    <w:rsid w:val="003830CB"/>
    <w:rsid w:val="00383198"/>
    <w:rsid w:val="0038326E"/>
    <w:rsid w:val="00383688"/>
    <w:rsid w:val="003836B5"/>
    <w:rsid w:val="00383BB9"/>
    <w:rsid w:val="00383DBD"/>
    <w:rsid w:val="00383E47"/>
    <w:rsid w:val="00383F13"/>
    <w:rsid w:val="00383FC0"/>
    <w:rsid w:val="00383FEE"/>
    <w:rsid w:val="00384058"/>
    <w:rsid w:val="0038423E"/>
    <w:rsid w:val="00384650"/>
    <w:rsid w:val="00384667"/>
    <w:rsid w:val="00384980"/>
    <w:rsid w:val="00384AAB"/>
    <w:rsid w:val="00384B4D"/>
    <w:rsid w:val="00384BCA"/>
    <w:rsid w:val="00384C09"/>
    <w:rsid w:val="00384C7D"/>
    <w:rsid w:val="00384D0F"/>
    <w:rsid w:val="00384E5E"/>
    <w:rsid w:val="0038521A"/>
    <w:rsid w:val="003852BD"/>
    <w:rsid w:val="00385517"/>
    <w:rsid w:val="00385593"/>
    <w:rsid w:val="003855A0"/>
    <w:rsid w:val="00385737"/>
    <w:rsid w:val="00385891"/>
    <w:rsid w:val="00385963"/>
    <w:rsid w:val="00385C74"/>
    <w:rsid w:val="00385D4C"/>
    <w:rsid w:val="00385D95"/>
    <w:rsid w:val="0038622B"/>
    <w:rsid w:val="003862F7"/>
    <w:rsid w:val="003863AA"/>
    <w:rsid w:val="0038655B"/>
    <w:rsid w:val="00386CB2"/>
    <w:rsid w:val="00386D1F"/>
    <w:rsid w:val="00386F7D"/>
    <w:rsid w:val="00386FB2"/>
    <w:rsid w:val="00386FEE"/>
    <w:rsid w:val="003875BA"/>
    <w:rsid w:val="003876A7"/>
    <w:rsid w:val="0038780F"/>
    <w:rsid w:val="00387D4B"/>
    <w:rsid w:val="00387E9D"/>
    <w:rsid w:val="00387F0E"/>
    <w:rsid w:val="00390007"/>
    <w:rsid w:val="0039018E"/>
    <w:rsid w:val="003901AA"/>
    <w:rsid w:val="003901EC"/>
    <w:rsid w:val="003905C8"/>
    <w:rsid w:val="00390609"/>
    <w:rsid w:val="003906C3"/>
    <w:rsid w:val="003907C9"/>
    <w:rsid w:val="003908BB"/>
    <w:rsid w:val="003908CA"/>
    <w:rsid w:val="0039093F"/>
    <w:rsid w:val="00390A37"/>
    <w:rsid w:val="00390B27"/>
    <w:rsid w:val="00390BE0"/>
    <w:rsid w:val="00390C4B"/>
    <w:rsid w:val="00390DBB"/>
    <w:rsid w:val="00390E16"/>
    <w:rsid w:val="00390E53"/>
    <w:rsid w:val="00390E64"/>
    <w:rsid w:val="00390F5E"/>
    <w:rsid w:val="0039110E"/>
    <w:rsid w:val="0039121B"/>
    <w:rsid w:val="003912C6"/>
    <w:rsid w:val="0039136B"/>
    <w:rsid w:val="0039141A"/>
    <w:rsid w:val="0039143C"/>
    <w:rsid w:val="003915EB"/>
    <w:rsid w:val="00391798"/>
    <w:rsid w:val="003917E2"/>
    <w:rsid w:val="00391C5F"/>
    <w:rsid w:val="00391C84"/>
    <w:rsid w:val="00391CE0"/>
    <w:rsid w:val="00391D61"/>
    <w:rsid w:val="00391D95"/>
    <w:rsid w:val="00391EA3"/>
    <w:rsid w:val="00391EA4"/>
    <w:rsid w:val="00391F80"/>
    <w:rsid w:val="00391F98"/>
    <w:rsid w:val="0039202E"/>
    <w:rsid w:val="00392090"/>
    <w:rsid w:val="0039217C"/>
    <w:rsid w:val="003924BF"/>
    <w:rsid w:val="0039263C"/>
    <w:rsid w:val="0039276B"/>
    <w:rsid w:val="003928D4"/>
    <w:rsid w:val="003929E2"/>
    <w:rsid w:val="00392BC2"/>
    <w:rsid w:val="00392D3B"/>
    <w:rsid w:val="00392F24"/>
    <w:rsid w:val="00392FC2"/>
    <w:rsid w:val="00392FFD"/>
    <w:rsid w:val="00393150"/>
    <w:rsid w:val="00393151"/>
    <w:rsid w:val="0039325A"/>
    <w:rsid w:val="00393292"/>
    <w:rsid w:val="0039330F"/>
    <w:rsid w:val="00393784"/>
    <w:rsid w:val="00393A48"/>
    <w:rsid w:val="00393A80"/>
    <w:rsid w:val="00393CA2"/>
    <w:rsid w:val="00393CCA"/>
    <w:rsid w:val="00394289"/>
    <w:rsid w:val="00394590"/>
    <w:rsid w:val="003945E9"/>
    <w:rsid w:val="00394885"/>
    <w:rsid w:val="00394ADD"/>
    <w:rsid w:val="00394B20"/>
    <w:rsid w:val="00394B4C"/>
    <w:rsid w:val="003951D0"/>
    <w:rsid w:val="00395400"/>
    <w:rsid w:val="003955EB"/>
    <w:rsid w:val="003956F2"/>
    <w:rsid w:val="0039576F"/>
    <w:rsid w:val="003959E8"/>
    <w:rsid w:val="00395EE0"/>
    <w:rsid w:val="00395FD7"/>
    <w:rsid w:val="0039666B"/>
    <w:rsid w:val="003966A8"/>
    <w:rsid w:val="003966ED"/>
    <w:rsid w:val="00396803"/>
    <w:rsid w:val="00396BBC"/>
    <w:rsid w:val="00396FBC"/>
    <w:rsid w:val="003970B0"/>
    <w:rsid w:val="00397199"/>
    <w:rsid w:val="003971B4"/>
    <w:rsid w:val="00397238"/>
    <w:rsid w:val="003972B0"/>
    <w:rsid w:val="0039790C"/>
    <w:rsid w:val="00397EC4"/>
    <w:rsid w:val="003A090B"/>
    <w:rsid w:val="003A09AF"/>
    <w:rsid w:val="003A0AE7"/>
    <w:rsid w:val="003A0B2F"/>
    <w:rsid w:val="003A0E94"/>
    <w:rsid w:val="003A110F"/>
    <w:rsid w:val="003A1138"/>
    <w:rsid w:val="003A11BD"/>
    <w:rsid w:val="003A17E4"/>
    <w:rsid w:val="003A19D4"/>
    <w:rsid w:val="003A1B08"/>
    <w:rsid w:val="003A1B26"/>
    <w:rsid w:val="003A1B44"/>
    <w:rsid w:val="003A1C2F"/>
    <w:rsid w:val="003A1E61"/>
    <w:rsid w:val="003A1F59"/>
    <w:rsid w:val="003A2002"/>
    <w:rsid w:val="003A20DF"/>
    <w:rsid w:val="003A2110"/>
    <w:rsid w:val="003A21F7"/>
    <w:rsid w:val="003A2209"/>
    <w:rsid w:val="003A2254"/>
    <w:rsid w:val="003A22A9"/>
    <w:rsid w:val="003A238B"/>
    <w:rsid w:val="003A238C"/>
    <w:rsid w:val="003A2632"/>
    <w:rsid w:val="003A2C06"/>
    <w:rsid w:val="003A2EFF"/>
    <w:rsid w:val="003A348F"/>
    <w:rsid w:val="003A3597"/>
    <w:rsid w:val="003A3649"/>
    <w:rsid w:val="003A36FC"/>
    <w:rsid w:val="003A3783"/>
    <w:rsid w:val="003A37AC"/>
    <w:rsid w:val="003A37C2"/>
    <w:rsid w:val="003A38C2"/>
    <w:rsid w:val="003A39AB"/>
    <w:rsid w:val="003A3C48"/>
    <w:rsid w:val="003A3E52"/>
    <w:rsid w:val="003A422F"/>
    <w:rsid w:val="003A4391"/>
    <w:rsid w:val="003A44D8"/>
    <w:rsid w:val="003A4545"/>
    <w:rsid w:val="003A48C4"/>
    <w:rsid w:val="003A4B7B"/>
    <w:rsid w:val="003A4D15"/>
    <w:rsid w:val="003A4D53"/>
    <w:rsid w:val="003A4E23"/>
    <w:rsid w:val="003A4FE1"/>
    <w:rsid w:val="003A5162"/>
    <w:rsid w:val="003A5226"/>
    <w:rsid w:val="003A52AD"/>
    <w:rsid w:val="003A553D"/>
    <w:rsid w:val="003A5683"/>
    <w:rsid w:val="003A5BD8"/>
    <w:rsid w:val="003A5C2D"/>
    <w:rsid w:val="003A5D0C"/>
    <w:rsid w:val="003A5D98"/>
    <w:rsid w:val="003A5F53"/>
    <w:rsid w:val="003A632D"/>
    <w:rsid w:val="003A64ED"/>
    <w:rsid w:val="003A654C"/>
    <w:rsid w:val="003A670D"/>
    <w:rsid w:val="003A675F"/>
    <w:rsid w:val="003A6858"/>
    <w:rsid w:val="003A68B0"/>
    <w:rsid w:val="003A68CB"/>
    <w:rsid w:val="003A6A4A"/>
    <w:rsid w:val="003A6CCE"/>
    <w:rsid w:val="003A6D96"/>
    <w:rsid w:val="003A6DBF"/>
    <w:rsid w:val="003A70FC"/>
    <w:rsid w:val="003A73E4"/>
    <w:rsid w:val="003A7712"/>
    <w:rsid w:val="003A77B7"/>
    <w:rsid w:val="003A78A7"/>
    <w:rsid w:val="003A798A"/>
    <w:rsid w:val="003A79C7"/>
    <w:rsid w:val="003A7AA4"/>
    <w:rsid w:val="003A7B20"/>
    <w:rsid w:val="003A7B41"/>
    <w:rsid w:val="003B0207"/>
    <w:rsid w:val="003B0385"/>
    <w:rsid w:val="003B05C9"/>
    <w:rsid w:val="003B0DBA"/>
    <w:rsid w:val="003B0DDB"/>
    <w:rsid w:val="003B0FB7"/>
    <w:rsid w:val="003B10B4"/>
    <w:rsid w:val="003B1173"/>
    <w:rsid w:val="003B119A"/>
    <w:rsid w:val="003B1483"/>
    <w:rsid w:val="003B1520"/>
    <w:rsid w:val="003B1633"/>
    <w:rsid w:val="003B16C9"/>
    <w:rsid w:val="003B18B6"/>
    <w:rsid w:val="003B1A0D"/>
    <w:rsid w:val="003B1B47"/>
    <w:rsid w:val="003B1C4F"/>
    <w:rsid w:val="003B1C9E"/>
    <w:rsid w:val="003B1D13"/>
    <w:rsid w:val="003B1DF9"/>
    <w:rsid w:val="003B1E37"/>
    <w:rsid w:val="003B20EB"/>
    <w:rsid w:val="003B2467"/>
    <w:rsid w:val="003B247A"/>
    <w:rsid w:val="003B24C0"/>
    <w:rsid w:val="003B272C"/>
    <w:rsid w:val="003B2CE7"/>
    <w:rsid w:val="003B2CF9"/>
    <w:rsid w:val="003B2CFB"/>
    <w:rsid w:val="003B2E32"/>
    <w:rsid w:val="003B2F52"/>
    <w:rsid w:val="003B2F62"/>
    <w:rsid w:val="003B2FD4"/>
    <w:rsid w:val="003B3056"/>
    <w:rsid w:val="003B31DE"/>
    <w:rsid w:val="003B323B"/>
    <w:rsid w:val="003B34CA"/>
    <w:rsid w:val="003B3615"/>
    <w:rsid w:val="003B363A"/>
    <w:rsid w:val="003B39CD"/>
    <w:rsid w:val="003B3AED"/>
    <w:rsid w:val="003B3B64"/>
    <w:rsid w:val="003B3B67"/>
    <w:rsid w:val="003B3E3A"/>
    <w:rsid w:val="003B3ECB"/>
    <w:rsid w:val="003B4068"/>
    <w:rsid w:val="003B41B9"/>
    <w:rsid w:val="003B4301"/>
    <w:rsid w:val="003B43B6"/>
    <w:rsid w:val="003B468C"/>
    <w:rsid w:val="003B4DD3"/>
    <w:rsid w:val="003B4ED0"/>
    <w:rsid w:val="003B527D"/>
    <w:rsid w:val="003B5520"/>
    <w:rsid w:val="003B55AA"/>
    <w:rsid w:val="003B5781"/>
    <w:rsid w:val="003B57FA"/>
    <w:rsid w:val="003B586D"/>
    <w:rsid w:val="003B593E"/>
    <w:rsid w:val="003B5947"/>
    <w:rsid w:val="003B5D06"/>
    <w:rsid w:val="003B5FD4"/>
    <w:rsid w:val="003B6018"/>
    <w:rsid w:val="003B602B"/>
    <w:rsid w:val="003B6106"/>
    <w:rsid w:val="003B621D"/>
    <w:rsid w:val="003B62B8"/>
    <w:rsid w:val="003B637E"/>
    <w:rsid w:val="003B63DD"/>
    <w:rsid w:val="003B6498"/>
    <w:rsid w:val="003B6860"/>
    <w:rsid w:val="003B6938"/>
    <w:rsid w:val="003B6962"/>
    <w:rsid w:val="003B69AF"/>
    <w:rsid w:val="003B6CB2"/>
    <w:rsid w:val="003B6DBA"/>
    <w:rsid w:val="003B6EAF"/>
    <w:rsid w:val="003B6F97"/>
    <w:rsid w:val="003B704B"/>
    <w:rsid w:val="003B7251"/>
    <w:rsid w:val="003B74A2"/>
    <w:rsid w:val="003B75CA"/>
    <w:rsid w:val="003B7648"/>
    <w:rsid w:val="003B7771"/>
    <w:rsid w:val="003B77FE"/>
    <w:rsid w:val="003B786D"/>
    <w:rsid w:val="003B7B69"/>
    <w:rsid w:val="003B7BA2"/>
    <w:rsid w:val="003B7BC9"/>
    <w:rsid w:val="003B7C34"/>
    <w:rsid w:val="003B7FE6"/>
    <w:rsid w:val="003C0047"/>
    <w:rsid w:val="003C00BC"/>
    <w:rsid w:val="003C01CD"/>
    <w:rsid w:val="003C02BD"/>
    <w:rsid w:val="003C08EB"/>
    <w:rsid w:val="003C0AD5"/>
    <w:rsid w:val="003C0B51"/>
    <w:rsid w:val="003C0C82"/>
    <w:rsid w:val="003C0F56"/>
    <w:rsid w:val="003C102B"/>
    <w:rsid w:val="003C119D"/>
    <w:rsid w:val="003C11CF"/>
    <w:rsid w:val="003C1373"/>
    <w:rsid w:val="003C1403"/>
    <w:rsid w:val="003C1576"/>
    <w:rsid w:val="003C1616"/>
    <w:rsid w:val="003C16A9"/>
    <w:rsid w:val="003C1735"/>
    <w:rsid w:val="003C1924"/>
    <w:rsid w:val="003C1A82"/>
    <w:rsid w:val="003C1ABF"/>
    <w:rsid w:val="003C1C79"/>
    <w:rsid w:val="003C1CDB"/>
    <w:rsid w:val="003C1EF3"/>
    <w:rsid w:val="003C1F51"/>
    <w:rsid w:val="003C2028"/>
    <w:rsid w:val="003C21AC"/>
    <w:rsid w:val="003C22A3"/>
    <w:rsid w:val="003C234C"/>
    <w:rsid w:val="003C248C"/>
    <w:rsid w:val="003C2518"/>
    <w:rsid w:val="003C28AC"/>
    <w:rsid w:val="003C2915"/>
    <w:rsid w:val="003C296A"/>
    <w:rsid w:val="003C2E74"/>
    <w:rsid w:val="003C2FDC"/>
    <w:rsid w:val="003C30B3"/>
    <w:rsid w:val="003C31A8"/>
    <w:rsid w:val="003C356D"/>
    <w:rsid w:val="003C36AD"/>
    <w:rsid w:val="003C3767"/>
    <w:rsid w:val="003C39DE"/>
    <w:rsid w:val="003C39E0"/>
    <w:rsid w:val="003C3C39"/>
    <w:rsid w:val="003C3CFA"/>
    <w:rsid w:val="003C3E7D"/>
    <w:rsid w:val="003C3FEF"/>
    <w:rsid w:val="003C4209"/>
    <w:rsid w:val="003C4501"/>
    <w:rsid w:val="003C4628"/>
    <w:rsid w:val="003C4866"/>
    <w:rsid w:val="003C48E1"/>
    <w:rsid w:val="003C4B72"/>
    <w:rsid w:val="003C4BE6"/>
    <w:rsid w:val="003C4C27"/>
    <w:rsid w:val="003C4E80"/>
    <w:rsid w:val="003C4FCA"/>
    <w:rsid w:val="003C518D"/>
    <w:rsid w:val="003C51CF"/>
    <w:rsid w:val="003C51DA"/>
    <w:rsid w:val="003C521D"/>
    <w:rsid w:val="003C52C3"/>
    <w:rsid w:val="003C52CD"/>
    <w:rsid w:val="003C53E3"/>
    <w:rsid w:val="003C5585"/>
    <w:rsid w:val="003C571D"/>
    <w:rsid w:val="003C5E38"/>
    <w:rsid w:val="003C5F42"/>
    <w:rsid w:val="003C615A"/>
    <w:rsid w:val="003C640C"/>
    <w:rsid w:val="003C6679"/>
    <w:rsid w:val="003C67AB"/>
    <w:rsid w:val="003C68DE"/>
    <w:rsid w:val="003C6947"/>
    <w:rsid w:val="003C69F9"/>
    <w:rsid w:val="003C6A39"/>
    <w:rsid w:val="003C6DA1"/>
    <w:rsid w:val="003C7084"/>
    <w:rsid w:val="003C7238"/>
    <w:rsid w:val="003C7349"/>
    <w:rsid w:val="003C77E2"/>
    <w:rsid w:val="003C7839"/>
    <w:rsid w:val="003C799E"/>
    <w:rsid w:val="003C7B6D"/>
    <w:rsid w:val="003C7CED"/>
    <w:rsid w:val="003C7E24"/>
    <w:rsid w:val="003C7E32"/>
    <w:rsid w:val="003D0441"/>
    <w:rsid w:val="003D04BC"/>
    <w:rsid w:val="003D0734"/>
    <w:rsid w:val="003D0A32"/>
    <w:rsid w:val="003D0CCF"/>
    <w:rsid w:val="003D0E5C"/>
    <w:rsid w:val="003D0F8E"/>
    <w:rsid w:val="003D105B"/>
    <w:rsid w:val="003D1427"/>
    <w:rsid w:val="003D1582"/>
    <w:rsid w:val="003D15B2"/>
    <w:rsid w:val="003D15FC"/>
    <w:rsid w:val="003D1732"/>
    <w:rsid w:val="003D1E8B"/>
    <w:rsid w:val="003D1EC9"/>
    <w:rsid w:val="003D214F"/>
    <w:rsid w:val="003D24BB"/>
    <w:rsid w:val="003D269E"/>
    <w:rsid w:val="003D26DA"/>
    <w:rsid w:val="003D27EE"/>
    <w:rsid w:val="003D2802"/>
    <w:rsid w:val="003D2A22"/>
    <w:rsid w:val="003D2DC7"/>
    <w:rsid w:val="003D2EAF"/>
    <w:rsid w:val="003D2F05"/>
    <w:rsid w:val="003D3027"/>
    <w:rsid w:val="003D3167"/>
    <w:rsid w:val="003D35AF"/>
    <w:rsid w:val="003D3A4F"/>
    <w:rsid w:val="003D3F15"/>
    <w:rsid w:val="003D3F48"/>
    <w:rsid w:val="003D40FF"/>
    <w:rsid w:val="003D4109"/>
    <w:rsid w:val="003D41F6"/>
    <w:rsid w:val="003D4215"/>
    <w:rsid w:val="003D443B"/>
    <w:rsid w:val="003D44E7"/>
    <w:rsid w:val="003D45E2"/>
    <w:rsid w:val="003D47EB"/>
    <w:rsid w:val="003D489E"/>
    <w:rsid w:val="003D4C9E"/>
    <w:rsid w:val="003D4D96"/>
    <w:rsid w:val="003D4FE3"/>
    <w:rsid w:val="003D529C"/>
    <w:rsid w:val="003D5362"/>
    <w:rsid w:val="003D53C3"/>
    <w:rsid w:val="003D56D7"/>
    <w:rsid w:val="003D575D"/>
    <w:rsid w:val="003D5900"/>
    <w:rsid w:val="003D5A37"/>
    <w:rsid w:val="003D5A65"/>
    <w:rsid w:val="003D5B46"/>
    <w:rsid w:val="003D5DDC"/>
    <w:rsid w:val="003D5F23"/>
    <w:rsid w:val="003D6585"/>
    <w:rsid w:val="003D682B"/>
    <w:rsid w:val="003D69C6"/>
    <w:rsid w:val="003D6BF1"/>
    <w:rsid w:val="003D6D31"/>
    <w:rsid w:val="003D6FA7"/>
    <w:rsid w:val="003D73D8"/>
    <w:rsid w:val="003D7434"/>
    <w:rsid w:val="003D7512"/>
    <w:rsid w:val="003D751F"/>
    <w:rsid w:val="003D75DC"/>
    <w:rsid w:val="003D7730"/>
    <w:rsid w:val="003D79E2"/>
    <w:rsid w:val="003D7B1A"/>
    <w:rsid w:val="003D7BB4"/>
    <w:rsid w:val="003E082D"/>
    <w:rsid w:val="003E0ACA"/>
    <w:rsid w:val="003E0CD1"/>
    <w:rsid w:val="003E0DA7"/>
    <w:rsid w:val="003E0DE5"/>
    <w:rsid w:val="003E1074"/>
    <w:rsid w:val="003E110F"/>
    <w:rsid w:val="003E1287"/>
    <w:rsid w:val="003E12B6"/>
    <w:rsid w:val="003E12C5"/>
    <w:rsid w:val="003E1522"/>
    <w:rsid w:val="003E154B"/>
    <w:rsid w:val="003E15C2"/>
    <w:rsid w:val="003E166B"/>
    <w:rsid w:val="003E16F3"/>
    <w:rsid w:val="003E1738"/>
    <w:rsid w:val="003E175F"/>
    <w:rsid w:val="003E1841"/>
    <w:rsid w:val="003E195A"/>
    <w:rsid w:val="003E1ACF"/>
    <w:rsid w:val="003E1CAD"/>
    <w:rsid w:val="003E1CF7"/>
    <w:rsid w:val="003E2143"/>
    <w:rsid w:val="003E21D1"/>
    <w:rsid w:val="003E230D"/>
    <w:rsid w:val="003E257B"/>
    <w:rsid w:val="003E2956"/>
    <w:rsid w:val="003E2A64"/>
    <w:rsid w:val="003E2AA5"/>
    <w:rsid w:val="003E2C9D"/>
    <w:rsid w:val="003E2E1A"/>
    <w:rsid w:val="003E2E76"/>
    <w:rsid w:val="003E2EDF"/>
    <w:rsid w:val="003E30E1"/>
    <w:rsid w:val="003E37A8"/>
    <w:rsid w:val="003E38E8"/>
    <w:rsid w:val="003E3C5D"/>
    <w:rsid w:val="003E3E7E"/>
    <w:rsid w:val="003E4051"/>
    <w:rsid w:val="003E40BC"/>
    <w:rsid w:val="003E4137"/>
    <w:rsid w:val="003E4524"/>
    <w:rsid w:val="003E4532"/>
    <w:rsid w:val="003E4575"/>
    <w:rsid w:val="003E4792"/>
    <w:rsid w:val="003E47C3"/>
    <w:rsid w:val="003E4A8D"/>
    <w:rsid w:val="003E4C1D"/>
    <w:rsid w:val="003E4C57"/>
    <w:rsid w:val="003E4DCD"/>
    <w:rsid w:val="003E4E0D"/>
    <w:rsid w:val="003E4F3E"/>
    <w:rsid w:val="003E51D0"/>
    <w:rsid w:val="003E5664"/>
    <w:rsid w:val="003E568A"/>
    <w:rsid w:val="003E5D55"/>
    <w:rsid w:val="003E5E1D"/>
    <w:rsid w:val="003E6004"/>
    <w:rsid w:val="003E6066"/>
    <w:rsid w:val="003E60B4"/>
    <w:rsid w:val="003E60BE"/>
    <w:rsid w:val="003E60F9"/>
    <w:rsid w:val="003E62E1"/>
    <w:rsid w:val="003E6326"/>
    <w:rsid w:val="003E6334"/>
    <w:rsid w:val="003E63AA"/>
    <w:rsid w:val="003E63C3"/>
    <w:rsid w:val="003E63E1"/>
    <w:rsid w:val="003E6484"/>
    <w:rsid w:val="003E66B2"/>
    <w:rsid w:val="003E6B58"/>
    <w:rsid w:val="003E6CE3"/>
    <w:rsid w:val="003E6D60"/>
    <w:rsid w:val="003E7008"/>
    <w:rsid w:val="003E7CAE"/>
    <w:rsid w:val="003E7D65"/>
    <w:rsid w:val="003E7E9C"/>
    <w:rsid w:val="003F0014"/>
    <w:rsid w:val="003F0111"/>
    <w:rsid w:val="003F0196"/>
    <w:rsid w:val="003F0212"/>
    <w:rsid w:val="003F02F4"/>
    <w:rsid w:val="003F0314"/>
    <w:rsid w:val="003F03F8"/>
    <w:rsid w:val="003F04FB"/>
    <w:rsid w:val="003F0629"/>
    <w:rsid w:val="003F06B3"/>
    <w:rsid w:val="003F0781"/>
    <w:rsid w:val="003F092F"/>
    <w:rsid w:val="003F0B01"/>
    <w:rsid w:val="003F0E43"/>
    <w:rsid w:val="003F0FCC"/>
    <w:rsid w:val="003F10DC"/>
    <w:rsid w:val="003F11E7"/>
    <w:rsid w:val="003F12D8"/>
    <w:rsid w:val="003F13C5"/>
    <w:rsid w:val="003F1504"/>
    <w:rsid w:val="003F17D1"/>
    <w:rsid w:val="003F188E"/>
    <w:rsid w:val="003F18F4"/>
    <w:rsid w:val="003F198E"/>
    <w:rsid w:val="003F1B88"/>
    <w:rsid w:val="003F1BA6"/>
    <w:rsid w:val="003F1BF5"/>
    <w:rsid w:val="003F1C2A"/>
    <w:rsid w:val="003F1DB3"/>
    <w:rsid w:val="003F1DD6"/>
    <w:rsid w:val="003F1FCE"/>
    <w:rsid w:val="003F22B8"/>
    <w:rsid w:val="003F2415"/>
    <w:rsid w:val="003F26A9"/>
    <w:rsid w:val="003F2A81"/>
    <w:rsid w:val="003F2B0E"/>
    <w:rsid w:val="003F2BFB"/>
    <w:rsid w:val="003F2CC2"/>
    <w:rsid w:val="003F2E12"/>
    <w:rsid w:val="003F2E31"/>
    <w:rsid w:val="003F2FB4"/>
    <w:rsid w:val="003F309C"/>
    <w:rsid w:val="003F3233"/>
    <w:rsid w:val="003F355D"/>
    <w:rsid w:val="003F358C"/>
    <w:rsid w:val="003F365C"/>
    <w:rsid w:val="003F36F8"/>
    <w:rsid w:val="003F380E"/>
    <w:rsid w:val="003F3AE0"/>
    <w:rsid w:val="003F3C87"/>
    <w:rsid w:val="003F3CB5"/>
    <w:rsid w:val="003F3D8D"/>
    <w:rsid w:val="003F3FD5"/>
    <w:rsid w:val="003F406B"/>
    <w:rsid w:val="003F4119"/>
    <w:rsid w:val="003F4150"/>
    <w:rsid w:val="003F422D"/>
    <w:rsid w:val="003F43B9"/>
    <w:rsid w:val="003F43DF"/>
    <w:rsid w:val="003F45C5"/>
    <w:rsid w:val="003F482A"/>
    <w:rsid w:val="003F49EE"/>
    <w:rsid w:val="003F49F2"/>
    <w:rsid w:val="003F4D4C"/>
    <w:rsid w:val="003F4EAA"/>
    <w:rsid w:val="003F4F15"/>
    <w:rsid w:val="003F4FD8"/>
    <w:rsid w:val="003F5174"/>
    <w:rsid w:val="003F543D"/>
    <w:rsid w:val="003F5517"/>
    <w:rsid w:val="003F5525"/>
    <w:rsid w:val="003F56F9"/>
    <w:rsid w:val="003F591B"/>
    <w:rsid w:val="003F5C3C"/>
    <w:rsid w:val="003F5CD3"/>
    <w:rsid w:val="003F5D87"/>
    <w:rsid w:val="003F5E9C"/>
    <w:rsid w:val="003F60F9"/>
    <w:rsid w:val="003F61C5"/>
    <w:rsid w:val="003F62EA"/>
    <w:rsid w:val="003F6361"/>
    <w:rsid w:val="003F6539"/>
    <w:rsid w:val="003F6578"/>
    <w:rsid w:val="003F65C7"/>
    <w:rsid w:val="003F66CD"/>
    <w:rsid w:val="003F66E2"/>
    <w:rsid w:val="003F6771"/>
    <w:rsid w:val="003F67E0"/>
    <w:rsid w:val="003F6948"/>
    <w:rsid w:val="003F6974"/>
    <w:rsid w:val="003F69C3"/>
    <w:rsid w:val="003F70D5"/>
    <w:rsid w:val="003F71F9"/>
    <w:rsid w:val="003F7239"/>
    <w:rsid w:val="003F740D"/>
    <w:rsid w:val="003F7601"/>
    <w:rsid w:val="003F7778"/>
    <w:rsid w:val="003F77B4"/>
    <w:rsid w:val="003F7A8D"/>
    <w:rsid w:val="003F7AF5"/>
    <w:rsid w:val="003F7FBF"/>
    <w:rsid w:val="004000D9"/>
    <w:rsid w:val="0040016C"/>
    <w:rsid w:val="00400246"/>
    <w:rsid w:val="004003C3"/>
    <w:rsid w:val="00400546"/>
    <w:rsid w:val="00400AA0"/>
    <w:rsid w:val="00400B5A"/>
    <w:rsid w:val="0040137E"/>
    <w:rsid w:val="004015D5"/>
    <w:rsid w:val="004015FB"/>
    <w:rsid w:val="00401745"/>
    <w:rsid w:val="00401770"/>
    <w:rsid w:val="004018FB"/>
    <w:rsid w:val="00401B94"/>
    <w:rsid w:val="00401D29"/>
    <w:rsid w:val="004020E6"/>
    <w:rsid w:val="00402275"/>
    <w:rsid w:val="00402346"/>
    <w:rsid w:val="00402780"/>
    <w:rsid w:val="00402A6B"/>
    <w:rsid w:val="00402B03"/>
    <w:rsid w:val="00402B65"/>
    <w:rsid w:val="00402C7B"/>
    <w:rsid w:val="00402CB1"/>
    <w:rsid w:val="00402D6B"/>
    <w:rsid w:val="00402E58"/>
    <w:rsid w:val="00402E5B"/>
    <w:rsid w:val="00402F87"/>
    <w:rsid w:val="0040377D"/>
    <w:rsid w:val="0040379D"/>
    <w:rsid w:val="00403829"/>
    <w:rsid w:val="00403CED"/>
    <w:rsid w:val="00403CF7"/>
    <w:rsid w:val="00403D1F"/>
    <w:rsid w:val="00403D92"/>
    <w:rsid w:val="00403E70"/>
    <w:rsid w:val="00403E77"/>
    <w:rsid w:val="00403F4F"/>
    <w:rsid w:val="004040B3"/>
    <w:rsid w:val="0040433F"/>
    <w:rsid w:val="0040434B"/>
    <w:rsid w:val="00404518"/>
    <w:rsid w:val="004045EE"/>
    <w:rsid w:val="004046BB"/>
    <w:rsid w:val="0040479A"/>
    <w:rsid w:val="00404AA2"/>
    <w:rsid w:val="00404DFA"/>
    <w:rsid w:val="00404E85"/>
    <w:rsid w:val="00404F65"/>
    <w:rsid w:val="00405205"/>
    <w:rsid w:val="00405491"/>
    <w:rsid w:val="004055C6"/>
    <w:rsid w:val="0040560E"/>
    <w:rsid w:val="00405622"/>
    <w:rsid w:val="00405AD4"/>
    <w:rsid w:val="00405B79"/>
    <w:rsid w:val="00405EB2"/>
    <w:rsid w:val="00405ED3"/>
    <w:rsid w:val="00406025"/>
    <w:rsid w:val="0040620B"/>
    <w:rsid w:val="0040634A"/>
    <w:rsid w:val="0040641F"/>
    <w:rsid w:val="004065DE"/>
    <w:rsid w:val="00406667"/>
    <w:rsid w:val="00406A20"/>
    <w:rsid w:val="00406A87"/>
    <w:rsid w:val="00406C4B"/>
    <w:rsid w:val="00406F47"/>
    <w:rsid w:val="004070F9"/>
    <w:rsid w:val="00407116"/>
    <w:rsid w:val="00407251"/>
    <w:rsid w:val="00407264"/>
    <w:rsid w:val="00407313"/>
    <w:rsid w:val="004074D9"/>
    <w:rsid w:val="004074F9"/>
    <w:rsid w:val="00407739"/>
    <w:rsid w:val="004077B1"/>
    <w:rsid w:val="004077E7"/>
    <w:rsid w:val="004079B2"/>
    <w:rsid w:val="00407C7E"/>
    <w:rsid w:val="00407D26"/>
    <w:rsid w:val="00407D7B"/>
    <w:rsid w:val="00407E33"/>
    <w:rsid w:val="00407EBA"/>
    <w:rsid w:val="00407F06"/>
    <w:rsid w:val="0041004E"/>
    <w:rsid w:val="00410586"/>
    <w:rsid w:val="00410ABA"/>
    <w:rsid w:val="00410C69"/>
    <w:rsid w:val="00410D52"/>
    <w:rsid w:val="00410F12"/>
    <w:rsid w:val="004111C4"/>
    <w:rsid w:val="00411283"/>
    <w:rsid w:val="004113A0"/>
    <w:rsid w:val="00411492"/>
    <w:rsid w:val="00411651"/>
    <w:rsid w:val="00411797"/>
    <w:rsid w:val="00411C0C"/>
    <w:rsid w:val="00411D53"/>
    <w:rsid w:val="00412068"/>
    <w:rsid w:val="0041207A"/>
    <w:rsid w:val="004120F7"/>
    <w:rsid w:val="004125C9"/>
    <w:rsid w:val="004125DA"/>
    <w:rsid w:val="004126CA"/>
    <w:rsid w:val="00412758"/>
    <w:rsid w:val="004127BF"/>
    <w:rsid w:val="004128DF"/>
    <w:rsid w:val="0041296D"/>
    <w:rsid w:val="00412D37"/>
    <w:rsid w:val="00412EAD"/>
    <w:rsid w:val="00413630"/>
    <w:rsid w:val="00413689"/>
    <w:rsid w:val="00413720"/>
    <w:rsid w:val="004138E0"/>
    <w:rsid w:val="00413946"/>
    <w:rsid w:val="00413B8B"/>
    <w:rsid w:val="00413C07"/>
    <w:rsid w:val="00413D9A"/>
    <w:rsid w:val="00413EE8"/>
    <w:rsid w:val="00413F5C"/>
    <w:rsid w:val="00413F8E"/>
    <w:rsid w:val="00414036"/>
    <w:rsid w:val="0041428C"/>
    <w:rsid w:val="0041431C"/>
    <w:rsid w:val="004143D8"/>
    <w:rsid w:val="0041448A"/>
    <w:rsid w:val="00414542"/>
    <w:rsid w:val="004146D7"/>
    <w:rsid w:val="00414724"/>
    <w:rsid w:val="0041486B"/>
    <w:rsid w:val="004149D3"/>
    <w:rsid w:val="00414A8F"/>
    <w:rsid w:val="00414AAE"/>
    <w:rsid w:val="00414AE7"/>
    <w:rsid w:val="00414B49"/>
    <w:rsid w:val="00414C2C"/>
    <w:rsid w:val="00414CA7"/>
    <w:rsid w:val="00414D58"/>
    <w:rsid w:val="004151D9"/>
    <w:rsid w:val="00415214"/>
    <w:rsid w:val="004152A1"/>
    <w:rsid w:val="00415369"/>
    <w:rsid w:val="0041538F"/>
    <w:rsid w:val="00415660"/>
    <w:rsid w:val="00415D78"/>
    <w:rsid w:val="00416186"/>
    <w:rsid w:val="004162F4"/>
    <w:rsid w:val="004164C3"/>
    <w:rsid w:val="004164DD"/>
    <w:rsid w:val="0041691E"/>
    <w:rsid w:val="00416950"/>
    <w:rsid w:val="00416A03"/>
    <w:rsid w:val="00416A6C"/>
    <w:rsid w:val="00416A93"/>
    <w:rsid w:val="00416A9F"/>
    <w:rsid w:val="00416B18"/>
    <w:rsid w:val="00416C1C"/>
    <w:rsid w:val="00416D21"/>
    <w:rsid w:val="00416DF8"/>
    <w:rsid w:val="00416F3A"/>
    <w:rsid w:val="00416FA2"/>
    <w:rsid w:val="00416FDC"/>
    <w:rsid w:val="00417226"/>
    <w:rsid w:val="0041748D"/>
    <w:rsid w:val="0041759F"/>
    <w:rsid w:val="00417614"/>
    <w:rsid w:val="004177EA"/>
    <w:rsid w:val="004179A6"/>
    <w:rsid w:val="004179EB"/>
    <w:rsid w:val="00417A60"/>
    <w:rsid w:val="00417CAA"/>
    <w:rsid w:val="00417DAA"/>
    <w:rsid w:val="00417F1D"/>
    <w:rsid w:val="00420109"/>
    <w:rsid w:val="004201DF"/>
    <w:rsid w:val="0042044E"/>
    <w:rsid w:val="004205A5"/>
    <w:rsid w:val="004206C1"/>
    <w:rsid w:val="004207F5"/>
    <w:rsid w:val="00420B09"/>
    <w:rsid w:val="00420EB0"/>
    <w:rsid w:val="00420F67"/>
    <w:rsid w:val="00420FA0"/>
    <w:rsid w:val="00421096"/>
    <w:rsid w:val="004212AC"/>
    <w:rsid w:val="004212FE"/>
    <w:rsid w:val="0042140A"/>
    <w:rsid w:val="00421670"/>
    <w:rsid w:val="00421753"/>
    <w:rsid w:val="00421A1D"/>
    <w:rsid w:val="00421CEC"/>
    <w:rsid w:val="00421EBE"/>
    <w:rsid w:val="004220F9"/>
    <w:rsid w:val="00422493"/>
    <w:rsid w:val="00422507"/>
    <w:rsid w:val="0042255E"/>
    <w:rsid w:val="004225B9"/>
    <w:rsid w:val="0042273D"/>
    <w:rsid w:val="004227BC"/>
    <w:rsid w:val="00422B62"/>
    <w:rsid w:val="00422B78"/>
    <w:rsid w:val="00422C5F"/>
    <w:rsid w:val="0042307B"/>
    <w:rsid w:val="00423256"/>
    <w:rsid w:val="004232AA"/>
    <w:rsid w:val="00423813"/>
    <w:rsid w:val="0042397B"/>
    <w:rsid w:val="004239EC"/>
    <w:rsid w:val="00423AD7"/>
    <w:rsid w:val="00423B17"/>
    <w:rsid w:val="00423CB0"/>
    <w:rsid w:val="00423DCA"/>
    <w:rsid w:val="0042408B"/>
    <w:rsid w:val="004241C7"/>
    <w:rsid w:val="0042423F"/>
    <w:rsid w:val="0042436F"/>
    <w:rsid w:val="004245DE"/>
    <w:rsid w:val="0042477C"/>
    <w:rsid w:val="004247DC"/>
    <w:rsid w:val="004248DC"/>
    <w:rsid w:val="00424A67"/>
    <w:rsid w:val="00425162"/>
    <w:rsid w:val="0042532D"/>
    <w:rsid w:val="0042532E"/>
    <w:rsid w:val="00425344"/>
    <w:rsid w:val="0042542B"/>
    <w:rsid w:val="00425614"/>
    <w:rsid w:val="00425684"/>
    <w:rsid w:val="004256FF"/>
    <w:rsid w:val="0042583A"/>
    <w:rsid w:val="00425956"/>
    <w:rsid w:val="00425E4F"/>
    <w:rsid w:val="00425FEE"/>
    <w:rsid w:val="0042621A"/>
    <w:rsid w:val="004264AB"/>
    <w:rsid w:val="0042654D"/>
    <w:rsid w:val="004265F6"/>
    <w:rsid w:val="004266A0"/>
    <w:rsid w:val="00426887"/>
    <w:rsid w:val="004268F1"/>
    <w:rsid w:val="004269ED"/>
    <w:rsid w:val="00426AD0"/>
    <w:rsid w:val="00426C4F"/>
    <w:rsid w:val="00426E6A"/>
    <w:rsid w:val="00426E9D"/>
    <w:rsid w:val="00426FB2"/>
    <w:rsid w:val="00427117"/>
    <w:rsid w:val="00427174"/>
    <w:rsid w:val="00427194"/>
    <w:rsid w:val="004273CF"/>
    <w:rsid w:val="00427585"/>
    <w:rsid w:val="004276EB"/>
    <w:rsid w:val="004277CF"/>
    <w:rsid w:val="00427C67"/>
    <w:rsid w:val="00427DB2"/>
    <w:rsid w:val="004302B0"/>
    <w:rsid w:val="004302D6"/>
    <w:rsid w:val="004304AD"/>
    <w:rsid w:val="00430A07"/>
    <w:rsid w:val="00430AD1"/>
    <w:rsid w:val="00430FFD"/>
    <w:rsid w:val="004311E2"/>
    <w:rsid w:val="00431330"/>
    <w:rsid w:val="004313AC"/>
    <w:rsid w:val="004313D1"/>
    <w:rsid w:val="004314AF"/>
    <w:rsid w:val="00431685"/>
    <w:rsid w:val="004316ED"/>
    <w:rsid w:val="00431788"/>
    <w:rsid w:val="004317C7"/>
    <w:rsid w:val="00431814"/>
    <w:rsid w:val="004318C5"/>
    <w:rsid w:val="0043194E"/>
    <w:rsid w:val="0043197C"/>
    <w:rsid w:val="00431B61"/>
    <w:rsid w:val="00431C8F"/>
    <w:rsid w:val="0043240D"/>
    <w:rsid w:val="0043261C"/>
    <w:rsid w:val="004326F4"/>
    <w:rsid w:val="00432857"/>
    <w:rsid w:val="00432873"/>
    <w:rsid w:val="00432AAD"/>
    <w:rsid w:val="00432ABD"/>
    <w:rsid w:val="00432BEF"/>
    <w:rsid w:val="00432C9B"/>
    <w:rsid w:val="00432D65"/>
    <w:rsid w:val="00432D87"/>
    <w:rsid w:val="00432FF3"/>
    <w:rsid w:val="0043312B"/>
    <w:rsid w:val="00433321"/>
    <w:rsid w:val="0043342D"/>
    <w:rsid w:val="004335D3"/>
    <w:rsid w:val="004336A9"/>
    <w:rsid w:val="004337D5"/>
    <w:rsid w:val="004338FD"/>
    <w:rsid w:val="00433957"/>
    <w:rsid w:val="00433A4C"/>
    <w:rsid w:val="00433AC1"/>
    <w:rsid w:val="00433CA0"/>
    <w:rsid w:val="00433DA7"/>
    <w:rsid w:val="00433E58"/>
    <w:rsid w:val="00433F0B"/>
    <w:rsid w:val="00434037"/>
    <w:rsid w:val="00434078"/>
    <w:rsid w:val="00434273"/>
    <w:rsid w:val="0043428D"/>
    <w:rsid w:val="0043474F"/>
    <w:rsid w:val="004349AE"/>
    <w:rsid w:val="00434A25"/>
    <w:rsid w:val="00434B76"/>
    <w:rsid w:val="00434C0D"/>
    <w:rsid w:val="00434C72"/>
    <w:rsid w:val="00434D43"/>
    <w:rsid w:val="00434DC8"/>
    <w:rsid w:val="00434FF8"/>
    <w:rsid w:val="00435262"/>
    <w:rsid w:val="004352F0"/>
    <w:rsid w:val="004353ED"/>
    <w:rsid w:val="00435808"/>
    <w:rsid w:val="00435A2B"/>
    <w:rsid w:val="00435C75"/>
    <w:rsid w:val="00435C86"/>
    <w:rsid w:val="00435CE1"/>
    <w:rsid w:val="00436184"/>
    <w:rsid w:val="0043625D"/>
    <w:rsid w:val="0043677D"/>
    <w:rsid w:val="00436791"/>
    <w:rsid w:val="00436891"/>
    <w:rsid w:val="00436961"/>
    <w:rsid w:val="004369B3"/>
    <w:rsid w:val="00436BDD"/>
    <w:rsid w:val="00436FEC"/>
    <w:rsid w:val="004371D1"/>
    <w:rsid w:val="0043726C"/>
    <w:rsid w:val="004373F0"/>
    <w:rsid w:val="00437403"/>
    <w:rsid w:val="00437453"/>
    <w:rsid w:val="00437571"/>
    <w:rsid w:val="004376A7"/>
    <w:rsid w:val="004376AE"/>
    <w:rsid w:val="00437AE2"/>
    <w:rsid w:val="00437B61"/>
    <w:rsid w:val="00437D8A"/>
    <w:rsid w:val="00437F0A"/>
    <w:rsid w:val="00437F6E"/>
    <w:rsid w:val="00437FFB"/>
    <w:rsid w:val="00440683"/>
    <w:rsid w:val="00440A82"/>
    <w:rsid w:val="00440D19"/>
    <w:rsid w:val="00440D51"/>
    <w:rsid w:val="00441024"/>
    <w:rsid w:val="00441099"/>
    <w:rsid w:val="004410EB"/>
    <w:rsid w:val="00441133"/>
    <w:rsid w:val="004411C7"/>
    <w:rsid w:val="004412A2"/>
    <w:rsid w:val="004414BE"/>
    <w:rsid w:val="004416AE"/>
    <w:rsid w:val="00441B46"/>
    <w:rsid w:val="00441C4B"/>
    <w:rsid w:val="00441CBC"/>
    <w:rsid w:val="00441CC8"/>
    <w:rsid w:val="00441D02"/>
    <w:rsid w:val="00441DAA"/>
    <w:rsid w:val="004420D5"/>
    <w:rsid w:val="004420FE"/>
    <w:rsid w:val="0044219E"/>
    <w:rsid w:val="004421BD"/>
    <w:rsid w:val="004422C5"/>
    <w:rsid w:val="00442320"/>
    <w:rsid w:val="0044235C"/>
    <w:rsid w:val="00442454"/>
    <w:rsid w:val="00442603"/>
    <w:rsid w:val="0044282D"/>
    <w:rsid w:val="0044297F"/>
    <w:rsid w:val="00442AA9"/>
    <w:rsid w:val="00442AB5"/>
    <w:rsid w:val="00442B04"/>
    <w:rsid w:val="00442B1A"/>
    <w:rsid w:val="00442BFA"/>
    <w:rsid w:val="00442C4F"/>
    <w:rsid w:val="00442D3E"/>
    <w:rsid w:val="00442F68"/>
    <w:rsid w:val="00442F9B"/>
    <w:rsid w:val="004431E0"/>
    <w:rsid w:val="004432DB"/>
    <w:rsid w:val="004432F8"/>
    <w:rsid w:val="0044340E"/>
    <w:rsid w:val="0044357E"/>
    <w:rsid w:val="004435FD"/>
    <w:rsid w:val="00443648"/>
    <w:rsid w:val="00443971"/>
    <w:rsid w:val="00443A79"/>
    <w:rsid w:val="00443B9D"/>
    <w:rsid w:val="00443BA9"/>
    <w:rsid w:val="00443C4D"/>
    <w:rsid w:val="00443E86"/>
    <w:rsid w:val="00443EEA"/>
    <w:rsid w:val="00443EEC"/>
    <w:rsid w:val="00443EF7"/>
    <w:rsid w:val="00443F16"/>
    <w:rsid w:val="00443FFC"/>
    <w:rsid w:val="00444014"/>
    <w:rsid w:val="004443BB"/>
    <w:rsid w:val="004445E8"/>
    <w:rsid w:val="004447AB"/>
    <w:rsid w:val="0044485A"/>
    <w:rsid w:val="00444A1A"/>
    <w:rsid w:val="00444A8E"/>
    <w:rsid w:val="00444ACD"/>
    <w:rsid w:val="00444AF0"/>
    <w:rsid w:val="00444B43"/>
    <w:rsid w:val="00444C34"/>
    <w:rsid w:val="00444CC5"/>
    <w:rsid w:val="00444CCF"/>
    <w:rsid w:val="00444E9A"/>
    <w:rsid w:val="00444EB5"/>
    <w:rsid w:val="0044504C"/>
    <w:rsid w:val="00445110"/>
    <w:rsid w:val="00445212"/>
    <w:rsid w:val="004452A3"/>
    <w:rsid w:val="00445389"/>
    <w:rsid w:val="004453F8"/>
    <w:rsid w:val="0044551A"/>
    <w:rsid w:val="004455AB"/>
    <w:rsid w:val="004459CB"/>
    <w:rsid w:val="00445AE4"/>
    <w:rsid w:val="00445D76"/>
    <w:rsid w:val="00445D80"/>
    <w:rsid w:val="00445FDA"/>
    <w:rsid w:val="0044620C"/>
    <w:rsid w:val="004464AF"/>
    <w:rsid w:val="00446502"/>
    <w:rsid w:val="004466DD"/>
    <w:rsid w:val="004467F9"/>
    <w:rsid w:val="00446956"/>
    <w:rsid w:val="00446B2E"/>
    <w:rsid w:val="00446F19"/>
    <w:rsid w:val="0044727D"/>
    <w:rsid w:val="0044757C"/>
    <w:rsid w:val="00447632"/>
    <w:rsid w:val="00447767"/>
    <w:rsid w:val="0044782B"/>
    <w:rsid w:val="0044782F"/>
    <w:rsid w:val="00447A49"/>
    <w:rsid w:val="00447B32"/>
    <w:rsid w:val="00450018"/>
    <w:rsid w:val="004500FE"/>
    <w:rsid w:val="004501B2"/>
    <w:rsid w:val="004502C5"/>
    <w:rsid w:val="0045030B"/>
    <w:rsid w:val="004503B8"/>
    <w:rsid w:val="0045064F"/>
    <w:rsid w:val="00450836"/>
    <w:rsid w:val="004509E4"/>
    <w:rsid w:val="00450AA8"/>
    <w:rsid w:val="00450AD0"/>
    <w:rsid w:val="00450F27"/>
    <w:rsid w:val="00450FDF"/>
    <w:rsid w:val="00451045"/>
    <w:rsid w:val="004510FB"/>
    <w:rsid w:val="00451521"/>
    <w:rsid w:val="004515D5"/>
    <w:rsid w:val="004517C7"/>
    <w:rsid w:val="004517F9"/>
    <w:rsid w:val="004518C4"/>
    <w:rsid w:val="00451BAE"/>
    <w:rsid w:val="00451CFA"/>
    <w:rsid w:val="00451DAB"/>
    <w:rsid w:val="00451E53"/>
    <w:rsid w:val="004520E3"/>
    <w:rsid w:val="0045215F"/>
    <w:rsid w:val="0045218C"/>
    <w:rsid w:val="0045222D"/>
    <w:rsid w:val="00452580"/>
    <w:rsid w:val="00452A37"/>
    <w:rsid w:val="00452BDC"/>
    <w:rsid w:val="00452C21"/>
    <w:rsid w:val="00452F83"/>
    <w:rsid w:val="0045324B"/>
    <w:rsid w:val="004535A4"/>
    <w:rsid w:val="0045363F"/>
    <w:rsid w:val="0045389B"/>
    <w:rsid w:val="0045391E"/>
    <w:rsid w:val="00453A4F"/>
    <w:rsid w:val="00453C74"/>
    <w:rsid w:val="00453CFC"/>
    <w:rsid w:val="00453F56"/>
    <w:rsid w:val="00454278"/>
    <w:rsid w:val="00454401"/>
    <w:rsid w:val="004544F3"/>
    <w:rsid w:val="004545DB"/>
    <w:rsid w:val="004547E9"/>
    <w:rsid w:val="00454857"/>
    <w:rsid w:val="004548DD"/>
    <w:rsid w:val="00454C95"/>
    <w:rsid w:val="00454E03"/>
    <w:rsid w:val="0045500D"/>
    <w:rsid w:val="00455082"/>
    <w:rsid w:val="004552E8"/>
    <w:rsid w:val="004554BF"/>
    <w:rsid w:val="0045567D"/>
    <w:rsid w:val="0045567E"/>
    <w:rsid w:val="004556C1"/>
    <w:rsid w:val="004558DA"/>
    <w:rsid w:val="00455A2F"/>
    <w:rsid w:val="00455A42"/>
    <w:rsid w:val="00455AA5"/>
    <w:rsid w:val="00455B21"/>
    <w:rsid w:val="00455C40"/>
    <w:rsid w:val="00455CB8"/>
    <w:rsid w:val="00455EC0"/>
    <w:rsid w:val="004560F5"/>
    <w:rsid w:val="0045622A"/>
    <w:rsid w:val="00456270"/>
    <w:rsid w:val="00456299"/>
    <w:rsid w:val="004563F0"/>
    <w:rsid w:val="00456874"/>
    <w:rsid w:val="00456876"/>
    <w:rsid w:val="00456966"/>
    <w:rsid w:val="0045696F"/>
    <w:rsid w:val="00456A73"/>
    <w:rsid w:val="00456AAE"/>
    <w:rsid w:val="00456D30"/>
    <w:rsid w:val="0045717B"/>
    <w:rsid w:val="00457231"/>
    <w:rsid w:val="00457280"/>
    <w:rsid w:val="00457309"/>
    <w:rsid w:val="00457435"/>
    <w:rsid w:val="004575AF"/>
    <w:rsid w:val="0045773F"/>
    <w:rsid w:val="004577DA"/>
    <w:rsid w:val="00457862"/>
    <w:rsid w:val="00457A13"/>
    <w:rsid w:val="00457AFE"/>
    <w:rsid w:val="00457B67"/>
    <w:rsid w:val="00457C21"/>
    <w:rsid w:val="00457C9D"/>
    <w:rsid w:val="00457CA0"/>
    <w:rsid w:val="00457ECD"/>
    <w:rsid w:val="00457F7D"/>
    <w:rsid w:val="004600B8"/>
    <w:rsid w:val="00460349"/>
    <w:rsid w:val="00460357"/>
    <w:rsid w:val="00460463"/>
    <w:rsid w:val="0046049A"/>
    <w:rsid w:val="0046052A"/>
    <w:rsid w:val="00460533"/>
    <w:rsid w:val="0046062A"/>
    <w:rsid w:val="00460B47"/>
    <w:rsid w:val="00460DDF"/>
    <w:rsid w:val="00460F7D"/>
    <w:rsid w:val="00461072"/>
    <w:rsid w:val="004611F5"/>
    <w:rsid w:val="00461235"/>
    <w:rsid w:val="004613BA"/>
    <w:rsid w:val="0046148B"/>
    <w:rsid w:val="004614FD"/>
    <w:rsid w:val="00461660"/>
    <w:rsid w:val="0046166A"/>
    <w:rsid w:val="00461775"/>
    <w:rsid w:val="00461995"/>
    <w:rsid w:val="00461E21"/>
    <w:rsid w:val="00461F82"/>
    <w:rsid w:val="0046203C"/>
    <w:rsid w:val="00462189"/>
    <w:rsid w:val="00462498"/>
    <w:rsid w:val="004624E9"/>
    <w:rsid w:val="0046254E"/>
    <w:rsid w:val="00462581"/>
    <w:rsid w:val="004626D7"/>
    <w:rsid w:val="0046276D"/>
    <w:rsid w:val="0046287D"/>
    <w:rsid w:val="004628DD"/>
    <w:rsid w:val="0046293E"/>
    <w:rsid w:val="004629A1"/>
    <w:rsid w:val="004629CA"/>
    <w:rsid w:val="00462AF9"/>
    <w:rsid w:val="00462CAA"/>
    <w:rsid w:val="00462DB3"/>
    <w:rsid w:val="00462E88"/>
    <w:rsid w:val="00462E9C"/>
    <w:rsid w:val="00462EFC"/>
    <w:rsid w:val="00462FB8"/>
    <w:rsid w:val="00463075"/>
    <w:rsid w:val="004630A1"/>
    <w:rsid w:val="004635C2"/>
    <w:rsid w:val="004636B2"/>
    <w:rsid w:val="0046370E"/>
    <w:rsid w:val="00463B04"/>
    <w:rsid w:val="00463B22"/>
    <w:rsid w:val="00463B4C"/>
    <w:rsid w:val="00463E60"/>
    <w:rsid w:val="00463EE4"/>
    <w:rsid w:val="00463F5E"/>
    <w:rsid w:val="00463F6F"/>
    <w:rsid w:val="00463F7D"/>
    <w:rsid w:val="0046412B"/>
    <w:rsid w:val="004641D9"/>
    <w:rsid w:val="004642C0"/>
    <w:rsid w:val="00464302"/>
    <w:rsid w:val="00464375"/>
    <w:rsid w:val="004645C2"/>
    <w:rsid w:val="00464BCA"/>
    <w:rsid w:val="00464C01"/>
    <w:rsid w:val="00464D15"/>
    <w:rsid w:val="00464FBB"/>
    <w:rsid w:val="00465008"/>
    <w:rsid w:val="00465325"/>
    <w:rsid w:val="004653B3"/>
    <w:rsid w:val="004653D5"/>
    <w:rsid w:val="00465701"/>
    <w:rsid w:val="00465818"/>
    <w:rsid w:val="00465848"/>
    <w:rsid w:val="004658B3"/>
    <w:rsid w:val="004659C2"/>
    <w:rsid w:val="00465B2B"/>
    <w:rsid w:val="00465C63"/>
    <w:rsid w:val="00465D09"/>
    <w:rsid w:val="00465F62"/>
    <w:rsid w:val="004660D0"/>
    <w:rsid w:val="004660EB"/>
    <w:rsid w:val="0046622A"/>
    <w:rsid w:val="004664C4"/>
    <w:rsid w:val="004666EC"/>
    <w:rsid w:val="00466874"/>
    <w:rsid w:val="004668CE"/>
    <w:rsid w:val="004669E2"/>
    <w:rsid w:val="00466A95"/>
    <w:rsid w:val="00466DF7"/>
    <w:rsid w:val="00466E32"/>
    <w:rsid w:val="00466E3E"/>
    <w:rsid w:val="00466E64"/>
    <w:rsid w:val="00467122"/>
    <w:rsid w:val="0046723A"/>
    <w:rsid w:val="0046740E"/>
    <w:rsid w:val="0046751D"/>
    <w:rsid w:val="0046758E"/>
    <w:rsid w:val="004675B2"/>
    <w:rsid w:val="00467693"/>
    <w:rsid w:val="004676D2"/>
    <w:rsid w:val="004679DA"/>
    <w:rsid w:val="00467A78"/>
    <w:rsid w:val="0047022A"/>
    <w:rsid w:val="0047056F"/>
    <w:rsid w:val="0047077B"/>
    <w:rsid w:val="004707A9"/>
    <w:rsid w:val="004709E2"/>
    <w:rsid w:val="00470EE0"/>
    <w:rsid w:val="00471010"/>
    <w:rsid w:val="00471174"/>
    <w:rsid w:val="0047140D"/>
    <w:rsid w:val="00471617"/>
    <w:rsid w:val="004716C3"/>
    <w:rsid w:val="00471734"/>
    <w:rsid w:val="004717B2"/>
    <w:rsid w:val="00471827"/>
    <w:rsid w:val="00471977"/>
    <w:rsid w:val="00471A71"/>
    <w:rsid w:val="00471D2E"/>
    <w:rsid w:val="00471DCA"/>
    <w:rsid w:val="00471EA0"/>
    <w:rsid w:val="00471F92"/>
    <w:rsid w:val="00472039"/>
    <w:rsid w:val="004721EB"/>
    <w:rsid w:val="004727BF"/>
    <w:rsid w:val="00472827"/>
    <w:rsid w:val="00472AF8"/>
    <w:rsid w:val="00472C6A"/>
    <w:rsid w:val="00472D91"/>
    <w:rsid w:val="00472FF2"/>
    <w:rsid w:val="00473003"/>
    <w:rsid w:val="00473012"/>
    <w:rsid w:val="00473045"/>
    <w:rsid w:val="004731A0"/>
    <w:rsid w:val="00473232"/>
    <w:rsid w:val="004732E4"/>
    <w:rsid w:val="00473328"/>
    <w:rsid w:val="004734F0"/>
    <w:rsid w:val="00473820"/>
    <w:rsid w:val="00473873"/>
    <w:rsid w:val="00473987"/>
    <w:rsid w:val="004739F4"/>
    <w:rsid w:val="00473A83"/>
    <w:rsid w:val="00473AB0"/>
    <w:rsid w:val="0047435C"/>
    <w:rsid w:val="00474494"/>
    <w:rsid w:val="004745DC"/>
    <w:rsid w:val="004746D9"/>
    <w:rsid w:val="00474726"/>
    <w:rsid w:val="00474797"/>
    <w:rsid w:val="00474829"/>
    <w:rsid w:val="00474894"/>
    <w:rsid w:val="00474ACB"/>
    <w:rsid w:val="00474B1F"/>
    <w:rsid w:val="00474B31"/>
    <w:rsid w:val="00474ED6"/>
    <w:rsid w:val="00474FD3"/>
    <w:rsid w:val="00475097"/>
    <w:rsid w:val="004751F1"/>
    <w:rsid w:val="00475217"/>
    <w:rsid w:val="00475446"/>
    <w:rsid w:val="0047555D"/>
    <w:rsid w:val="00475699"/>
    <w:rsid w:val="00475720"/>
    <w:rsid w:val="0047577C"/>
    <w:rsid w:val="004758E8"/>
    <w:rsid w:val="00475A07"/>
    <w:rsid w:val="00475B08"/>
    <w:rsid w:val="00475D50"/>
    <w:rsid w:val="00475DC9"/>
    <w:rsid w:val="00475E09"/>
    <w:rsid w:val="004761BD"/>
    <w:rsid w:val="004762EF"/>
    <w:rsid w:val="00476470"/>
    <w:rsid w:val="004767C5"/>
    <w:rsid w:val="0047686A"/>
    <w:rsid w:val="00476ACC"/>
    <w:rsid w:val="00476B7A"/>
    <w:rsid w:val="00476BE6"/>
    <w:rsid w:val="00476DC3"/>
    <w:rsid w:val="00477092"/>
    <w:rsid w:val="00477500"/>
    <w:rsid w:val="00477531"/>
    <w:rsid w:val="00477605"/>
    <w:rsid w:val="00477615"/>
    <w:rsid w:val="0047778D"/>
    <w:rsid w:val="00477976"/>
    <w:rsid w:val="004779A4"/>
    <w:rsid w:val="00477C43"/>
    <w:rsid w:val="00477D36"/>
    <w:rsid w:val="00477E02"/>
    <w:rsid w:val="00477E8F"/>
    <w:rsid w:val="004804B6"/>
    <w:rsid w:val="0048050A"/>
    <w:rsid w:val="00480660"/>
    <w:rsid w:val="0048074C"/>
    <w:rsid w:val="00480CD7"/>
    <w:rsid w:val="00480D5D"/>
    <w:rsid w:val="00480D6F"/>
    <w:rsid w:val="00480F43"/>
    <w:rsid w:val="004810BD"/>
    <w:rsid w:val="00481112"/>
    <w:rsid w:val="004813F4"/>
    <w:rsid w:val="00481468"/>
    <w:rsid w:val="00481779"/>
    <w:rsid w:val="00481A76"/>
    <w:rsid w:val="00481AEA"/>
    <w:rsid w:val="00481B25"/>
    <w:rsid w:val="00481B3F"/>
    <w:rsid w:val="00481CB1"/>
    <w:rsid w:val="00481CFF"/>
    <w:rsid w:val="00481F2F"/>
    <w:rsid w:val="00482275"/>
    <w:rsid w:val="00482314"/>
    <w:rsid w:val="0048254C"/>
    <w:rsid w:val="00482551"/>
    <w:rsid w:val="00482728"/>
    <w:rsid w:val="0048283F"/>
    <w:rsid w:val="004829E5"/>
    <w:rsid w:val="00482A5E"/>
    <w:rsid w:val="00482BC4"/>
    <w:rsid w:val="00482CFE"/>
    <w:rsid w:val="00482D26"/>
    <w:rsid w:val="00482D44"/>
    <w:rsid w:val="00482D85"/>
    <w:rsid w:val="0048302F"/>
    <w:rsid w:val="004831A4"/>
    <w:rsid w:val="004831B2"/>
    <w:rsid w:val="00483222"/>
    <w:rsid w:val="00483806"/>
    <w:rsid w:val="00483826"/>
    <w:rsid w:val="00483B17"/>
    <w:rsid w:val="00483C00"/>
    <w:rsid w:val="00483E68"/>
    <w:rsid w:val="00483EA8"/>
    <w:rsid w:val="00484045"/>
    <w:rsid w:val="00484409"/>
    <w:rsid w:val="00484552"/>
    <w:rsid w:val="0048466B"/>
    <w:rsid w:val="00484818"/>
    <w:rsid w:val="004848CE"/>
    <w:rsid w:val="00484D67"/>
    <w:rsid w:val="00485034"/>
    <w:rsid w:val="00485119"/>
    <w:rsid w:val="00485187"/>
    <w:rsid w:val="00485445"/>
    <w:rsid w:val="004854C1"/>
    <w:rsid w:val="004854D6"/>
    <w:rsid w:val="004854E1"/>
    <w:rsid w:val="0048588E"/>
    <w:rsid w:val="00485A05"/>
    <w:rsid w:val="00485B61"/>
    <w:rsid w:val="00485D11"/>
    <w:rsid w:val="00485E89"/>
    <w:rsid w:val="00485F40"/>
    <w:rsid w:val="00485F4E"/>
    <w:rsid w:val="0048621A"/>
    <w:rsid w:val="00486366"/>
    <w:rsid w:val="00486383"/>
    <w:rsid w:val="004863CA"/>
    <w:rsid w:val="004864E5"/>
    <w:rsid w:val="004867ED"/>
    <w:rsid w:val="0048689A"/>
    <w:rsid w:val="0048691F"/>
    <w:rsid w:val="00486A01"/>
    <w:rsid w:val="00486A2C"/>
    <w:rsid w:val="00486B05"/>
    <w:rsid w:val="00486DFE"/>
    <w:rsid w:val="00486E19"/>
    <w:rsid w:val="00486FA6"/>
    <w:rsid w:val="00487227"/>
    <w:rsid w:val="004877C5"/>
    <w:rsid w:val="0048790C"/>
    <w:rsid w:val="0049016B"/>
    <w:rsid w:val="00490380"/>
    <w:rsid w:val="00490386"/>
    <w:rsid w:val="00490417"/>
    <w:rsid w:val="00490461"/>
    <w:rsid w:val="00490540"/>
    <w:rsid w:val="0049054D"/>
    <w:rsid w:val="00490837"/>
    <w:rsid w:val="004908B3"/>
    <w:rsid w:val="004908DD"/>
    <w:rsid w:val="00490993"/>
    <w:rsid w:val="00490A93"/>
    <w:rsid w:val="00490B01"/>
    <w:rsid w:val="00490C6B"/>
    <w:rsid w:val="00490E2F"/>
    <w:rsid w:val="00491182"/>
    <w:rsid w:val="0049121C"/>
    <w:rsid w:val="00491240"/>
    <w:rsid w:val="00491415"/>
    <w:rsid w:val="00491527"/>
    <w:rsid w:val="004915C8"/>
    <w:rsid w:val="004915F7"/>
    <w:rsid w:val="00491B85"/>
    <w:rsid w:val="00491BA8"/>
    <w:rsid w:val="00491EA8"/>
    <w:rsid w:val="004920D6"/>
    <w:rsid w:val="0049225D"/>
    <w:rsid w:val="004922F2"/>
    <w:rsid w:val="004922FF"/>
    <w:rsid w:val="00492505"/>
    <w:rsid w:val="004926D7"/>
    <w:rsid w:val="0049271E"/>
    <w:rsid w:val="0049291F"/>
    <w:rsid w:val="004929C4"/>
    <w:rsid w:val="00492BD4"/>
    <w:rsid w:val="00492C68"/>
    <w:rsid w:val="0049306A"/>
    <w:rsid w:val="0049332E"/>
    <w:rsid w:val="0049360F"/>
    <w:rsid w:val="004939DA"/>
    <w:rsid w:val="00493C9F"/>
    <w:rsid w:val="00493D30"/>
    <w:rsid w:val="00493D3C"/>
    <w:rsid w:val="00493E44"/>
    <w:rsid w:val="00493EF4"/>
    <w:rsid w:val="0049401F"/>
    <w:rsid w:val="004940C8"/>
    <w:rsid w:val="00494160"/>
    <w:rsid w:val="0049422F"/>
    <w:rsid w:val="00494262"/>
    <w:rsid w:val="0049428F"/>
    <w:rsid w:val="00494401"/>
    <w:rsid w:val="0049451E"/>
    <w:rsid w:val="0049459B"/>
    <w:rsid w:val="004947A7"/>
    <w:rsid w:val="00494814"/>
    <w:rsid w:val="00494A00"/>
    <w:rsid w:val="00494BDC"/>
    <w:rsid w:val="00494ED2"/>
    <w:rsid w:val="00494EF1"/>
    <w:rsid w:val="0049523B"/>
    <w:rsid w:val="00495437"/>
    <w:rsid w:val="00495473"/>
    <w:rsid w:val="0049576C"/>
    <w:rsid w:val="0049587F"/>
    <w:rsid w:val="00495886"/>
    <w:rsid w:val="0049596F"/>
    <w:rsid w:val="00495A0E"/>
    <w:rsid w:val="00495CF5"/>
    <w:rsid w:val="00495DF9"/>
    <w:rsid w:val="00495E01"/>
    <w:rsid w:val="0049602A"/>
    <w:rsid w:val="00496118"/>
    <w:rsid w:val="004961F3"/>
    <w:rsid w:val="004962DB"/>
    <w:rsid w:val="004963FB"/>
    <w:rsid w:val="0049663E"/>
    <w:rsid w:val="0049697B"/>
    <w:rsid w:val="004969B9"/>
    <w:rsid w:val="00496B5B"/>
    <w:rsid w:val="00496B73"/>
    <w:rsid w:val="00496DC7"/>
    <w:rsid w:val="00496E78"/>
    <w:rsid w:val="00496FDF"/>
    <w:rsid w:val="004970D1"/>
    <w:rsid w:val="004971EC"/>
    <w:rsid w:val="0049757C"/>
    <w:rsid w:val="004975A2"/>
    <w:rsid w:val="0049773E"/>
    <w:rsid w:val="00497B8F"/>
    <w:rsid w:val="00497C50"/>
    <w:rsid w:val="00497C54"/>
    <w:rsid w:val="00497D1D"/>
    <w:rsid w:val="004A017C"/>
    <w:rsid w:val="004A017D"/>
    <w:rsid w:val="004A01E6"/>
    <w:rsid w:val="004A0269"/>
    <w:rsid w:val="004A0348"/>
    <w:rsid w:val="004A0504"/>
    <w:rsid w:val="004A05F4"/>
    <w:rsid w:val="004A0607"/>
    <w:rsid w:val="004A060A"/>
    <w:rsid w:val="004A073E"/>
    <w:rsid w:val="004A08C6"/>
    <w:rsid w:val="004A09E8"/>
    <w:rsid w:val="004A0B72"/>
    <w:rsid w:val="004A0CC7"/>
    <w:rsid w:val="004A0D1E"/>
    <w:rsid w:val="004A0DF7"/>
    <w:rsid w:val="004A0F27"/>
    <w:rsid w:val="004A0F35"/>
    <w:rsid w:val="004A0F54"/>
    <w:rsid w:val="004A0FD0"/>
    <w:rsid w:val="004A10BC"/>
    <w:rsid w:val="004A12C6"/>
    <w:rsid w:val="004A132B"/>
    <w:rsid w:val="004A139B"/>
    <w:rsid w:val="004A1494"/>
    <w:rsid w:val="004A1557"/>
    <w:rsid w:val="004A18CF"/>
    <w:rsid w:val="004A1A86"/>
    <w:rsid w:val="004A1BE3"/>
    <w:rsid w:val="004A1EFB"/>
    <w:rsid w:val="004A1FED"/>
    <w:rsid w:val="004A1FF9"/>
    <w:rsid w:val="004A21CF"/>
    <w:rsid w:val="004A22A8"/>
    <w:rsid w:val="004A23CC"/>
    <w:rsid w:val="004A268E"/>
    <w:rsid w:val="004A26A7"/>
    <w:rsid w:val="004A26E4"/>
    <w:rsid w:val="004A2782"/>
    <w:rsid w:val="004A2804"/>
    <w:rsid w:val="004A2AB2"/>
    <w:rsid w:val="004A2DAE"/>
    <w:rsid w:val="004A3076"/>
    <w:rsid w:val="004A30CF"/>
    <w:rsid w:val="004A314F"/>
    <w:rsid w:val="004A3518"/>
    <w:rsid w:val="004A3523"/>
    <w:rsid w:val="004A3631"/>
    <w:rsid w:val="004A36F8"/>
    <w:rsid w:val="004A36FC"/>
    <w:rsid w:val="004A370F"/>
    <w:rsid w:val="004A3868"/>
    <w:rsid w:val="004A3903"/>
    <w:rsid w:val="004A3D81"/>
    <w:rsid w:val="004A3DC9"/>
    <w:rsid w:val="004A3F1B"/>
    <w:rsid w:val="004A3FFE"/>
    <w:rsid w:val="004A405A"/>
    <w:rsid w:val="004A40CB"/>
    <w:rsid w:val="004A42D2"/>
    <w:rsid w:val="004A4488"/>
    <w:rsid w:val="004A4679"/>
    <w:rsid w:val="004A4896"/>
    <w:rsid w:val="004A4AE5"/>
    <w:rsid w:val="004A4C4D"/>
    <w:rsid w:val="004A4CB1"/>
    <w:rsid w:val="004A4D02"/>
    <w:rsid w:val="004A4D22"/>
    <w:rsid w:val="004A4D7E"/>
    <w:rsid w:val="004A4D8F"/>
    <w:rsid w:val="004A5132"/>
    <w:rsid w:val="004A53C0"/>
    <w:rsid w:val="004A5621"/>
    <w:rsid w:val="004A56B2"/>
    <w:rsid w:val="004A5744"/>
    <w:rsid w:val="004A57E3"/>
    <w:rsid w:val="004A59C7"/>
    <w:rsid w:val="004A5B02"/>
    <w:rsid w:val="004A604D"/>
    <w:rsid w:val="004A614C"/>
    <w:rsid w:val="004A64DE"/>
    <w:rsid w:val="004A654A"/>
    <w:rsid w:val="004A65B5"/>
    <w:rsid w:val="004A667F"/>
    <w:rsid w:val="004A6A60"/>
    <w:rsid w:val="004A6C26"/>
    <w:rsid w:val="004A6C8E"/>
    <w:rsid w:val="004A6F60"/>
    <w:rsid w:val="004A6F7F"/>
    <w:rsid w:val="004A6F9F"/>
    <w:rsid w:val="004A70D2"/>
    <w:rsid w:val="004A73D9"/>
    <w:rsid w:val="004A740A"/>
    <w:rsid w:val="004A7516"/>
    <w:rsid w:val="004A754B"/>
    <w:rsid w:val="004A75B1"/>
    <w:rsid w:val="004A785E"/>
    <w:rsid w:val="004A7EBE"/>
    <w:rsid w:val="004B01D9"/>
    <w:rsid w:val="004B02CD"/>
    <w:rsid w:val="004B02DA"/>
    <w:rsid w:val="004B03A9"/>
    <w:rsid w:val="004B0717"/>
    <w:rsid w:val="004B07F6"/>
    <w:rsid w:val="004B08D1"/>
    <w:rsid w:val="004B091F"/>
    <w:rsid w:val="004B0A05"/>
    <w:rsid w:val="004B0A0A"/>
    <w:rsid w:val="004B0A83"/>
    <w:rsid w:val="004B0E9E"/>
    <w:rsid w:val="004B0F46"/>
    <w:rsid w:val="004B1243"/>
    <w:rsid w:val="004B127C"/>
    <w:rsid w:val="004B12E2"/>
    <w:rsid w:val="004B1338"/>
    <w:rsid w:val="004B13AA"/>
    <w:rsid w:val="004B18BE"/>
    <w:rsid w:val="004B1A90"/>
    <w:rsid w:val="004B1B39"/>
    <w:rsid w:val="004B1BC9"/>
    <w:rsid w:val="004B1DA4"/>
    <w:rsid w:val="004B1F22"/>
    <w:rsid w:val="004B20F1"/>
    <w:rsid w:val="004B2175"/>
    <w:rsid w:val="004B2212"/>
    <w:rsid w:val="004B225A"/>
    <w:rsid w:val="004B225E"/>
    <w:rsid w:val="004B22C7"/>
    <w:rsid w:val="004B2658"/>
    <w:rsid w:val="004B26D7"/>
    <w:rsid w:val="004B28CA"/>
    <w:rsid w:val="004B2957"/>
    <w:rsid w:val="004B29C7"/>
    <w:rsid w:val="004B29FE"/>
    <w:rsid w:val="004B2A26"/>
    <w:rsid w:val="004B2C94"/>
    <w:rsid w:val="004B2E3D"/>
    <w:rsid w:val="004B31A8"/>
    <w:rsid w:val="004B326F"/>
    <w:rsid w:val="004B344C"/>
    <w:rsid w:val="004B3704"/>
    <w:rsid w:val="004B3865"/>
    <w:rsid w:val="004B3CB3"/>
    <w:rsid w:val="004B3F18"/>
    <w:rsid w:val="004B402C"/>
    <w:rsid w:val="004B4058"/>
    <w:rsid w:val="004B420B"/>
    <w:rsid w:val="004B42A2"/>
    <w:rsid w:val="004B4581"/>
    <w:rsid w:val="004B4673"/>
    <w:rsid w:val="004B4740"/>
    <w:rsid w:val="004B4B80"/>
    <w:rsid w:val="004B4D56"/>
    <w:rsid w:val="004B4E88"/>
    <w:rsid w:val="004B4F0F"/>
    <w:rsid w:val="004B5147"/>
    <w:rsid w:val="004B5275"/>
    <w:rsid w:val="004B5402"/>
    <w:rsid w:val="004B550B"/>
    <w:rsid w:val="004B552C"/>
    <w:rsid w:val="004B57B1"/>
    <w:rsid w:val="004B5A91"/>
    <w:rsid w:val="004B5FFD"/>
    <w:rsid w:val="004B6020"/>
    <w:rsid w:val="004B60A0"/>
    <w:rsid w:val="004B633C"/>
    <w:rsid w:val="004B6752"/>
    <w:rsid w:val="004B67D5"/>
    <w:rsid w:val="004B6855"/>
    <w:rsid w:val="004B6A81"/>
    <w:rsid w:val="004B6B52"/>
    <w:rsid w:val="004B6C3C"/>
    <w:rsid w:val="004B6DDF"/>
    <w:rsid w:val="004B72B1"/>
    <w:rsid w:val="004B738C"/>
    <w:rsid w:val="004B73B8"/>
    <w:rsid w:val="004B74AD"/>
    <w:rsid w:val="004B76ED"/>
    <w:rsid w:val="004B796B"/>
    <w:rsid w:val="004B796E"/>
    <w:rsid w:val="004B7A0C"/>
    <w:rsid w:val="004B7BC8"/>
    <w:rsid w:val="004B7D67"/>
    <w:rsid w:val="004B7DF7"/>
    <w:rsid w:val="004C033D"/>
    <w:rsid w:val="004C06DC"/>
    <w:rsid w:val="004C0729"/>
    <w:rsid w:val="004C07AF"/>
    <w:rsid w:val="004C088A"/>
    <w:rsid w:val="004C0C6E"/>
    <w:rsid w:val="004C0F4F"/>
    <w:rsid w:val="004C0F95"/>
    <w:rsid w:val="004C1002"/>
    <w:rsid w:val="004C11A5"/>
    <w:rsid w:val="004C125E"/>
    <w:rsid w:val="004C134D"/>
    <w:rsid w:val="004C1358"/>
    <w:rsid w:val="004C139C"/>
    <w:rsid w:val="004C14B4"/>
    <w:rsid w:val="004C14F6"/>
    <w:rsid w:val="004C1585"/>
    <w:rsid w:val="004C16BD"/>
    <w:rsid w:val="004C1AF1"/>
    <w:rsid w:val="004C1BDE"/>
    <w:rsid w:val="004C1D0D"/>
    <w:rsid w:val="004C1E00"/>
    <w:rsid w:val="004C1F18"/>
    <w:rsid w:val="004C21C4"/>
    <w:rsid w:val="004C2506"/>
    <w:rsid w:val="004C2609"/>
    <w:rsid w:val="004C2701"/>
    <w:rsid w:val="004C28FF"/>
    <w:rsid w:val="004C2981"/>
    <w:rsid w:val="004C2A4E"/>
    <w:rsid w:val="004C2AE0"/>
    <w:rsid w:val="004C2B0E"/>
    <w:rsid w:val="004C2B2F"/>
    <w:rsid w:val="004C2B59"/>
    <w:rsid w:val="004C2C67"/>
    <w:rsid w:val="004C2CF1"/>
    <w:rsid w:val="004C2D76"/>
    <w:rsid w:val="004C2DAF"/>
    <w:rsid w:val="004C2EE7"/>
    <w:rsid w:val="004C2FAA"/>
    <w:rsid w:val="004C3042"/>
    <w:rsid w:val="004C31B2"/>
    <w:rsid w:val="004C327B"/>
    <w:rsid w:val="004C3292"/>
    <w:rsid w:val="004C3492"/>
    <w:rsid w:val="004C3711"/>
    <w:rsid w:val="004C386D"/>
    <w:rsid w:val="004C3A40"/>
    <w:rsid w:val="004C3C88"/>
    <w:rsid w:val="004C3D75"/>
    <w:rsid w:val="004C4128"/>
    <w:rsid w:val="004C4285"/>
    <w:rsid w:val="004C42D7"/>
    <w:rsid w:val="004C467B"/>
    <w:rsid w:val="004C4718"/>
    <w:rsid w:val="004C47CD"/>
    <w:rsid w:val="004C48E4"/>
    <w:rsid w:val="004C490F"/>
    <w:rsid w:val="004C491E"/>
    <w:rsid w:val="004C4B6E"/>
    <w:rsid w:val="004C4C4A"/>
    <w:rsid w:val="004C581B"/>
    <w:rsid w:val="004C5825"/>
    <w:rsid w:val="004C59F5"/>
    <w:rsid w:val="004C5A5D"/>
    <w:rsid w:val="004C5C82"/>
    <w:rsid w:val="004C5D5A"/>
    <w:rsid w:val="004C5DA6"/>
    <w:rsid w:val="004C5DC9"/>
    <w:rsid w:val="004C5ECB"/>
    <w:rsid w:val="004C602B"/>
    <w:rsid w:val="004C61BF"/>
    <w:rsid w:val="004C6255"/>
    <w:rsid w:val="004C63D2"/>
    <w:rsid w:val="004C63EE"/>
    <w:rsid w:val="004C662E"/>
    <w:rsid w:val="004C6641"/>
    <w:rsid w:val="004C6676"/>
    <w:rsid w:val="004C674E"/>
    <w:rsid w:val="004C6931"/>
    <w:rsid w:val="004C6CDC"/>
    <w:rsid w:val="004C6CE0"/>
    <w:rsid w:val="004C70A0"/>
    <w:rsid w:val="004C70AD"/>
    <w:rsid w:val="004C70DB"/>
    <w:rsid w:val="004C70EA"/>
    <w:rsid w:val="004C7240"/>
    <w:rsid w:val="004C7328"/>
    <w:rsid w:val="004C7356"/>
    <w:rsid w:val="004C747A"/>
    <w:rsid w:val="004C7527"/>
    <w:rsid w:val="004C754B"/>
    <w:rsid w:val="004C756D"/>
    <w:rsid w:val="004C756E"/>
    <w:rsid w:val="004C7624"/>
    <w:rsid w:val="004C7733"/>
    <w:rsid w:val="004C77A5"/>
    <w:rsid w:val="004C7CC4"/>
    <w:rsid w:val="004C7F59"/>
    <w:rsid w:val="004D015B"/>
    <w:rsid w:val="004D0170"/>
    <w:rsid w:val="004D01C7"/>
    <w:rsid w:val="004D01E4"/>
    <w:rsid w:val="004D0737"/>
    <w:rsid w:val="004D0C5B"/>
    <w:rsid w:val="004D0E9D"/>
    <w:rsid w:val="004D1183"/>
    <w:rsid w:val="004D13A3"/>
    <w:rsid w:val="004D13FA"/>
    <w:rsid w:val="004D14CD"/>
    <w:rsid w:val="004D14FE"/>
    <w:rsid w:val="004D1634"/>
    <w:rsid w:val="004D1657"/>
    <w:rsid w:val="004D168A"/>
    <w:rsid w:val="004D16A0"/>
    <w:rsid w:val="004D197E"/>
    <w:rsid w:val="004D1A24"/>
    <w:rsid w:val="004D1C83"/>
    <w:rsid w:val="004D1D01"/>
    <w:rsid w:val="004D1F2A"/>
    <w:rsid w:val="004D288D"/>
    <w:rsid w:val="004D28FB"/>
    <w:rsid w:val="004D2A5F"/>
    <w:rsid w:val="004D2ACB"/>
    <w:rsid w:val="004D2BF6"/>
    <w:rsid w:val="004D2C40"/>
    <w:rsid w:val="004D2CA5"/>
    <w:rsid w:val="004D2CDB"/>
    <w:rsid w:val="004D2DA0"/>
    <w:rsid w:val="004D30BD"/>
    <w:rsid w:val="004D3136"/>
    <w:rsid w:val="004D318B"/>
    <w:rsid w:val="004D326C"/>
    <w:rsid w:val="004D3687"/>
    <w:rsid w:val="004D37DA"/>
    <w:rsid w:val="004D384E"/>
    <w:rsid w:val="004D3A23"/>
    <w:rsid w:val="004D3A32"/>
    <w:rsid w:val="004D3ADB"/>
    <w:rsid w:val="004D3B14"/>
    <w:rsid w:val="004D3B92"/>
    <w:rsid w:val="004D3BF6"/>
    <w:rsid w:val="004D3C27"/>
    <w:rsid w:val="004D3CE7"/>
    <w:rsid w:val="004D3D05"/>
    <w:rsid w:val="004D3EDD"/>
    <w:rsid w:val="004D3FED"/>
    <w:rsid w:val="004D4009"/>
    <w:rsid w:val="004D40E2"/>
    <w:rsid w:val="004D41D8"/>
    <w:rsid w:val="004D4426"/>
    <w:rsid w:val="004D44F7"/>
    <w:rsid w:val="004D44FD"/>
    <w:rsid w:val="004D47DE"/>
    <w:rsid w:val="004D489C"/>
    <w:rsid w:val="004D4A2C"/>
    <w:rsid w:val="004D4B3E"/>
    <w:rsid w:val="004D4BB7"/>
    <w:rsid w:val="004D4E46"/>
    <w:rsid w:val="004D517A"/>
    <w:rsid w:val="004D51F7"/>
    <w:rsid w:val="004D526C"/>
    <w:rsid w:val="004D5459"/>
    <w:rsid w:val="004D547B"/>
    <w:rsid w:val="004D57E3"/>
    <w:rsid w:val="004D58D7"/>
    <w:rsid w:val="004D5A8C"/>
    <w:rsid w:val="004D5CC6"/>
    <w:rsid w:val="004D5D55"/>
    <w:rsid w:val="004D5E90"/>
    <w:rsid w:val="004D6173"/>
    <w:rsid w:val="004D629E"/>
    <w:rsid w:val="004D64C1"/>
    <w:rsid w:val="004D687C"/>
    <w:rsid w:val="004D6896"/>
    <w:rsid w:val="004D6C7F"/>
    <w:rsid w:val="004D6F47"/>
    <w:rsid w:val="004D716E"/>
    <w:rsid w:val="004D72D1"/>
    <w:rsid w:val="004D75A3"/>
    <w:rsid w:val="004D7648"/>
    <w:rsid w:val="004D7735"/>
    <w:rsid w:val="004D7961"/>
    <w:rsid w:val="004D7991"/>
    <w:rsid w:val="004D7C07"/>
    <w:rsid w:val="004D7C23"/>
    <w:rsid w:val="004D7D86"/>
    <w:rsid w:val="004E01D1"/>
    <w:rsid w:val="004E0261"/>
    <w:rsid w:val="004E06A4"/>
    <w:rsid w:val="004E09E3"/>
    <w:rsid w:val="004E0A39"/>
    <w:rsid w:val="004E0EB3"/>
    <w:rsid w:val="004E10EA"/>
    <w:rsid w:val="004E1315"/>
    <w:rsid w:val="004E136F"/>
    <w:rsid w:val="004E1926"/>
    <w:rsid w:val="004E19F3"/>
    <w:rsid w:val="004E1B0C"/>
    <w:rsid w:val="004E1BBF"/>
    <w:rsid w:val="004E1BF6"/>
    <w:rsid w:val="004E203A"/>
    <w:rsid w:val="004E218B"/>
    <w:rsid w:val="004E21D8"/>
    <w:rsid w:val="004E22D5"/>
    <w:rsid w:val="004E237B"/>
    <w:rsid w:val="004E28D4"/>
    <w:rsid w:val="004E28E3"/>
    <w:rsid w:val="004E2A47"/>
    <w:rsid w:val="004E2E4C"/>
    <w:rsid w:val="004E2E52"/>
    <w:rsid w:val="004E31AF"/>
    <w:rsid w:val="004E321B"/>
    <w:rsid w:val="004E3421"/>
    <w:rsid w:val="004E3647"/>
    <w:rsid w:val="004E36EB"/>
    <w:rsid w:val="004E3AFA"/>
    <w:rsid w:val="004E3BD2"/>
    <w:rsid w:val="004E3D2B"/>
    <w:rsid w:val="004E407F"/>
    <w:rsid w:val="004E4113"/>
    <w:rsid w:val="004E4187"/>
    <w:rsid w:val="004E4199"/>
    <w:rsid w:val="004E43B8"/>
    <w:rsid w:val="004E4512"/>
    <w:rsid w:val="004E4685"/>
    <w:rsid w:val="004E4739"/>
    <w:rsid w:val="004E4877"/>
    <w:rsid w:val="004E4A81"/>
    <w:rsid w:val="004E500A"/>
    <w:rsid w:val="004E5012"/>
    <w:rsid w:val="004E51B9"/>
    <w:rsid w:val="004E5297"/>
    <w:rsid w:val="004E53DA"/>
    <w:rsid w:val="004E5774"/>
    <w:rsid w:val="004E58B7"/>
    <w:rsid w:val="004E5957"/>
    <w:rsid w:val="004E5A71"/>
    <w:rsid w:val="004E5BB6"/>
    <w:rsid w:val="004E5C7D"/>
    <w:rsid w:val="004E5D01"/>
    <w:rsid w:val="004E6042"/>
    <w:rsid w:val="004E6321"/>
    <w:rsid w:val="004E632D"/>
    <w:rsid w:val="004E6461"/>
    <w:rsid w:val="004E66C8"/>
    <w:rsid w:val="004E67D0"/>
    <w:rsid w:val="004E689F"/>
    <w:rsid w:val="004E6A95"/>
    <w:rsid w:val="004E6C15"/>
    <w:rsid w:val="004E6D7C"/>
    <w:rsid w:val="004E6E41"/>
    <w:rsid w:val="004E6EAE"/>
    <w:rsid w:val="004E6EF9"/>
    <w:rsid w:val="004E7071"/>
    <w:rsid w:val="004E7109"/>
    <w:rsid w:val="004E7211"/>
    <w:rsid w:val="004E72AB"/>
    <w:rsid w:val="004E72E2"/>
    <w:rsid w:val="004E7373"/>
    <w:rsid w:val="004E73CC"/>
    <w:rsid w:val="004E76BF"/>
    <w:rsid w:val="004E76D9"/>
    <w:rsid w:val="004E7E5F"/>
    <w:rsid w:val="004E7FF1"/>
    <w:rsid w:val="004F0153"/>
    <w:rsid w:val="004F0206"/>
    <w:rsid w:val="004F0284"/>
    <w:rsid w:val="004F028C"/>
    <w:rsid w:val="004F031A"/>
    <w:rsid w:val="004F03F6"/>
    <w:rsid w:val="004F04FD"/>
    <w:rsid w:val="004F0580"/>
    <w:rsid w:val="004F059B"/>
    <w:rsid w:val="004F05A1"/>
    <w:rsid w:val="004F0793"/>
    <w:rsid w:val="004F07A7"/>
    <w:rsid w:val="004F089A"/>
    <w:rsid w:val="004F08E5"/>
    <w:rsid w:val="004F0BE9"/>
    <w:rsid w:val="004F0C17"/>
    <w:rsid w:val="004F135B"/>
    <w:rsid w:val="004F15BA"/>
    <w:rsid w:val="004F1A07"/>
    <w:rsid w:val="004F1AF1"/>
    <w:rsid w:val="004F1F9A"/>
    <w:rsid w:val="004F2024"/>
    <w:rsid w:val="004F2267"/>
    <w:rsid w:val="004F2385"/>
    <w:rsid w:val="004F243D"/>
    <w:rsid w:val="004F2650"/>
    <w:rsid w:val="004F28B4"/>
    <w:rsid w:val="004F2927"/>
    <w:rsid w:val="004F2990"/>
    <w:rsid w:val="004F2A5F"/>
    <w:rsid w:val="004F2D65"/>
    <w:rsid w:val="004F2F10"/>
    <w:rsid w:val="004F31B8"/>
    <w:rsid w:val="004F36E0"/>
    <w:rsid w:val="004F371D"/>
    <w:rsid w:val="004F3937"/>
    <w:rsid w:val="004F3AB3"/>
    <w:rsid w:val="004F3BB6"/>
    <w:rsid w:val="004F3BF6"/>
    <w:rsid w:val="004F3D1D"/>
    <w:rsid w:val="004F3F41"/>
    <w:rsid w:val="004F4078"/>
    <w:rsid w:val="004F42CD"/>
    <w:rsid w:val="004F4302"/>
    <w:rsid w:val="004F43E3"/>
    <w:rsid w:val="004F44E3"/>
    <w:rsid w:val="004F457A"/>
    <w:rsid w:val="004F4855"/>
    <w:rsid w:val="004F4B0E"/>
    <w:rsid w:val="004F4B76"/>
    <w:rsid w:val="004F4BC5"/>
    <w:rsid w:val="004F4CEA"/>
    <w:rsid w:val="004F4D33"/>
    <w:rsid w:val="004F4DEB"/>
    <w:rsid w:val="004F4E44"/>
    <w:rsid w:val="004F503A"/>
    <w:rsid w:val="004F5186"/>
    <w:rsid w:val="004F5365"/>
    <w:rsid w:val="004F54AB"/>
    <w:rsid w:val="004F5556"/>
    <w:rsid w:val="004F5657"/>
    <w:rsid w:val="004F5CDE"/>
    <w:rsid w:val="004F5D0B"/>
    <w:rsid w:val="004F5D1C"/>
    <w:rsid w:val="004F5E26"/>
    <w:rsid w:val="004F61C1"/>
    <w:rsid w:val="004F6280"/>
    <w:rsid w:val="004F6287"/>
    <w:rsid w:val="004F6514"/>
    <w:rsid w:val="004F65D0"/>
    <w:rsid w:val="004F66E6"/>
    <w:rsid w:val="004F672E"/>
    <w:rsid w:val="004F678D"/>
    <w:rsid w:val="004F686E"/>
    <w:rsid w:val="004F68B2"/>
    <w:rsid w:val="004F69F7"/>
    <w:rsid w:val="004F6A97"/>
    <w:rsid w:val="004F6AFB"/>
    <w:rsid w:val="004F6BC6"/>
    <w:rsid w:val="004F6BEA"/>
    <w:rsid w:val="004F6C7E"/>
    <w:rsid w:val="004F6DF5"/>
    <w:rsid w:val="004F6F15"/>
    <w:rsid w:val="004F7042"/>
    <w:rsid w:val="004F70D4"/>
    <w:rsid w:val="004F72F6"/>
    <w:rsid w:val="004F751F"/>
    <w:rsid w:val="004F7616"/>
    <w:rsid w:val="004F77BE"/>
    <w:rsid w:val="004F7987"/>
    <w:rsid w:val="004F7B04"/>
    <w:rsid w:val="004F7C41"/>
    <w:rsid w:val="004F7E80"/>
    <w:rsid w:val="004F7F78"/>
    <w:rsid w:val="004F7FCC"/>
    <w:rsid w:val="00500045"/>
    <w:rsid w:val="005001BD"/>
    <w:rsid w:val="00500296"/>
    <w:rsid w:val="0050037B"/>
    <w:rsid w:val="00500694"/>
    <w:rsid w:val="005007F5"/>
    <w:rsid w:val="00500805"/>
    <w:rsid w:val="00500818"/>
    <w:rsid w:val="00500820"/>
    <w:rsid w:val="0050087D"/>
    <w:rsid w:val="00500A07"/>
    <w:rsid w:val="00500BDB"/>
    <w:rsid w:val="00500EC3"/>
    <w:rsid w:val="00500F11"/>
    <w:rsid w:val="00501169"/>
    <w:rsid w:val="005012BD"/>
    <w:rsid w:val="0050147F"/>
    <w:rsid w:val="005015CD"/>
    <w:rsid w:val="00501873"/>
    <w:rsid w:val="00501875"/>
    <w:rsid w:val="005018AD"/>
    <w:rsid w:val="005018D8"/>
    <w:rsid w:val="00501B21"/>
    <w:rsid w:val="00501BA3"/>
    <w:rsid w:val="00501DE6"/>
    <w:rsid w:val="00501E32"/>
    <w:rsid w:val="00502259"/>
    <w:rsid w:val="00502264"/>
    <w:rsid w:val="0050236A"/>
    <w:rsid w:val="00502411"/>
    <w:rsid w:val="005027A1"/>
    <w:rsid w:val="005029AD"/>
    <w:rsid w:val="00502A0C"/>
    <w:rsid w:val="00502AD8"/>
    <w:rsid w:val="00502ADD"/>
    <w:rsid w:val="00502B5D"/>
    <w:rsid w:val="00502C82"/>
    <w:rsid w:val="00502CE3"/>
    <w:rsid w:val="00502E84"/>
    <w:rsid w:val="00502FD7"/>
    <w:rsid w:val="005032F4"/>
    <w:rsid w:val="005034BA"/>
    <w:rsid w:val="005035DB"/>
    <w:rsid w:val="00503631"/>
    <w:rsid w:val="00503720"/>
    <w:rsid w:val="00503730"/>
    <w:rsid w:val="0050374C"/>
    <w:rsid w:val="005037CD"/>
    <w:rsid w:val="00503A05"/>
    <w:rsid w:val="00503C66"/>
    <w:rsid w:val="00503CFC"/>
    <w:rsid w:val="00503EE6"/>
    <w:rsid w:val="00503FA9"/>
    <w:rsid w:val="005042E7"/>
    <w:rsid w:val="005045A2"/>
    <w:rsid w:val="0050462A"/>
    <w:rsid w:val="0050467B"/>
    <w:rsid w:val="005046CF"/>
    <w:rsid w:val="0050482C"/>
    <w:rsid w:val="00504972"/>
    <w:rsid w:val="00504BA4"/>
    <w:rsid w:val="00504F23"/>
    <w:rsid w:val="00504F2D"/>
    <w:rsid w:val="00504F4C"/>
    <w:rsid w:val="00504FDC"/>
    <w:rsid w:val="005051C5"/>
    <w:rsid w:val="00505442"/>
    <w:rsid w:val="00505653"/>
    <w:rsid w:val="00505800"/>
    <w:rsid w:val="00505C4E"/>
    <w:rsid w:val="00505FAE"/>
    <w:rsid w:val="0050605B"/>
    <w:rsid w:val="0050609D"/>
    <w:rsid w:val="005060DB"/>
    <w:rsid w:val="005062FC"/>
    <w:rsid w:val="00506454"/>
    <w:rsid w:val="005065B7"/>
    <w:rsid w:val="005067D8"/>
    <w:rsid w:val="00506AC9"/>
    <w:rsid w:val="005070CC"/>
    <w:rsid w:val="0050740F"/>
    <w:rsid w:val="00507418"/>
    <w:rsid w:val="00507702"/>
    <w:rsid w:val="00507A0E"/>
    <w:rsid w:val="00507A98"/>
    <w:rsid w:val="00507CB8"/>
    <w:rsid w:val="00507D44"/>
    <w:rsid w:val="00507E4B"/>
    <w:rsid w:val="00510036"/>
    <w:rsid w:val="0051004C"/>
    <w:rsid w:val="00510063"/>
    <w:rsid w:val="005100C5"/>
    <w:rsid w:val="00510123"/>
    <w:rsid w:val="0051029B"/>
    <w:rsid w:val="00510613"/>
    <w:rsid w:val="005106FA"/>
    <w:rsid w:val="0051071B"/>
    <w:rsid w:val="00510AA1"/>
    <w:rsid w:val="00510AE3"/>
    <w:rsid w:val="00510E1D"/>
    <w:rsid w:val="00510E58"/>
    <w:rsid w:val="005110CB"/>
    <w:rsid w:val="00511344"/>
    <w:rsid w:val="00511434"/>
    <w:rsid w:val="00511462"/>
    <w:rsid w:val="005115D4"/>
    <w:rsid w:val="005117FA"/>
    <w:rsid w:val="00511805"/>
    <w:rsid w:val="005118EA"/>
    <w:rsid w:val="00511AE2"/>
    <w:rsid w:val="00511BD4"/>
    <w:rsid w:val="00511C0D"/>
    <w:rsid w:val="00511CAD"/>
    <w:rsid w:val="00511CB8"/>
    <w:rsid w:val="00511D3A"/>
    <w:rsid w:val="00511DA7"/>
    <w:rsid w:val="00511DCF"/>
    <w:rsid w:val="00511F21"/>
    <w:rsid w:val="00512225"/>
    <w:rsid w:val="005122D2"/>
    <w:rsid w:val="005122DA"/>
    <w:rsid w:val="0051241C"/>
    <w:rsid w:val="00512428"/>
    <w:rsid w:val="0051258F"/>
    <w:rsid w:val="00512719"/>
    <w:rsid w:val="00512DC6"/>
    <w:rsid w:val="00512E51"/>
    <w:rsid w:val="0051321B"/>
    <w:rsid w:val="005132EB"/>
    <w:rsid w:val="005133BD"/>
    <w:rsid w:val="00513485"/>
    <w:rsid w:val="00513BD2"/>
    <w:rsid w:val="005140BD"/>
    <w:rsid w:val="005144BC"/>
    <w:rsid w:val="00514684"/>
    <w:rsid w:val="005148C7"/>
    <w:rsid w:val="0051491D"/>
    <w:rsid w:val="00514A08"/>
    <w:rsid w:val="00514A41"/>
    <w:rsid w:val="00514A4D"/>
    <w:rsid w:val="00514D0D"/>
    <w:rsid w:val="00514D2F"/>
    <w:rsid w:val="00514E04"/>
    <w:rsid w:val="00514F8C"/>
    <w:rsid w:val="0051504D"/>
    <w:rsid w:val="00515121"/>
    <w:rsid w:val="00515213"/>
    <w:rsid w:val="005152CC"/>
    <w:rsid w:val="0051535C"/>
    <w:rsid w:val="00515482"/>
    <w:rsid w:val="00515591"/>
    <w:rsid w:val="00515605"/>
    <w:rsid w:val="005158AB"/>
    <w:rsid w:val="005158E0"/>
    <w:rsid w:val="005158FB"/>
    <w:rsid w:val="00515B8F"/>
    <w:rsid w:val="00515D2F"/>
    <w:rsid w:val="00515D3A"/>
    <w:rsid w:val="0051622F"/>
    <w:rsid w:val="0051635B"/>
    <w:rsid w:val="005163F3"/>
    <w:rsid w:val="005165B3"/>
    <w:rsid w:val="00516638"/>
    <w:rsid w:val="0051691F"/>
    <w:rsid w:val="005169CC"/>
    <w:rsid w:val="00516A5B"/>
    <w:rsid w:val="00516B85"/>
    <w:rsid w:val="00516F30"/>
    <w:rsid w:val="00517002"/>
    <w:rsid w:val="00517292"/>
    <w:rsid w:val="0051730B"/>
    <w:rsid w:val="0051796A"/>
    <w:rsid w:val="00517B67"/>
    <w:rsid w:val="00517CFF"/>
    <w:rsid w:val="00517D67"/>
    <w:rsid w:val="00517DA5"/>
    <w:rsid w:val="005201C5"/>
    <w:rsid w:val="0052043E"/>
    <w:rsid w:val="005205E1"/>
    <w:rsid w:val="0052067D"/>
    <w:rsid w:val="005208C4"/>
    <w:rsid w:val="005208D3"/>
    <w:rsid w:val="0052091B"/>
    <w:rsid w:val="005209E2"/>
    <w:rsid w:val="00520A3F"/>
    <w:rsid w:val="00520A93"/>
    <w:rsid w:val="00520B28"/>
    <w:rsid w:val="00520B91"/>
    <w:rsid w:val="00520D34"/>
    <w:rsid w:val="00520D8B"/>
    <w:rsid w:val="00520EED"/>
    <w:rsid w:val="00520F1B"/>
    <w:rsid w:val="00520F48"/>
    <w:rsid w:val="00521034"/>
    <w:rsid w:val="0052105B"/>
    <w:rsid w:val="005211DE"/>
    <w:rsid w:val="00521281"/>
    <w:rsid w:val="00521523"/>
    <w:rsid w:val="0052157A"/>
    <w:rsid w:val="005215CE"/>
    <w:rsid w:val="005217EC"/>
    <w:rsid w:val="005218E5"/>
    <w:rsid w:val="005219CF"/>
    <w:rsid w:val="00521F03"/>
    <w:rsid w:val="00521FA0"/>
    <w:rsid w:val="00521FB1"/>
    <w:rsid w:val="00522045"/>
    <w:rsid w:val="00522173"/>
    <w:rsid w:val="005222D5"/>
    <w:rsid w:val="0052233E"/>
    <w:rsid w:val="00522415"/>
    <w:rsid w:val="00522477"/>
    <w:rsid w:val="00522528"/>
    <w:rsid w:val="005227DF"/>
    <w:rsid w:val="00522894"/>
    <w:rsid w:val="00522B94"/>
    <w:rsid w:val="00522FA1"/>
    <w:rsid w:val="00522FA4"/>
    <w:rsid w:val="005232DD"/>
    <w:rsid w:val="0052388B"/>
    <w:rsid w:val="00523DA3"/>
    <w:rsid w:val="00523F9E"/>
    <w:rsid w:val="0052408D"/>
    <w:rsid w:val="005240CA"/>
    <w:rsid w:val="00524635"/>
    <w:rsid w:val="00524A2F"/>
    <w:rsid w:val="00524AC9"/>
    <w:rsid w:val="00524D00"/>
    <w:rsid w:val="00524DAF"/>
    <w:rsid w:val="00524DB2"/>
    <w:rsid w:val="00524E34"/>
    <w:rsid w:val="00524EB8"/>
    <w:rsid w:val="00525005"/>
    <w:rsid w:val="005250F2"/>
    <w:rsid w:val="00525156"/>
    <w:rsid w:val="005251C9"/>
    <w:rsid w:val="0052521E"/>
    <w:rsid w:val="00525259"/>
    <w:rsid w:val="005254ED"/>
    <w:rsid w:val="005255E8"/>
    <w:rsid w:val="0052569F"/>
    <w:rsid w:val="00525745"/>
    <w:rsid w:val="005257BC"/>
    <w:rsid w:val="005259C2"/>
    <w:rsid w:val="00525AEB"/>
    <w:rsid w:val="00525C5F"/>
    <w:rsid w:val="00525D9F"/>
    <w:rsid w:val="00525F64"/>
    <w:rsid w:val="00526303"/>
    <w:rsid w:val="0052659E"/>
    <w:rsid w:val="00526608"/>
    <w:rsid w:val="0052671E"/>
    <w:rsid w:val="00526760"/>
    <w:rsid w:val="0052679F"/>
    <w:rsid w:val="00526848"/>
    <w:rsid w:val="005268EB"/>
    <w:rsid w:val="00526A0C"/>
    <w:rsid w:val="00526A24"/>
    <w:rsid w:val="00526B8F"/>
    <w:rsid w:val="00526F7A"/>
    <w:rsid w:val="00527105"/>
    <w:rsid w:val="005274B3"/>
    <w:rsid w:val="005275C8"/>
    <w:rsid w:val="00527784"/>
    <w:rsid w:val="00527997"/>
    <w:rsid w:val="005279A3"/>
    <w:rsid w:val="00527C2A"/>
    <w:rsid w:val="00527C5B"/>
    <w:rsid w:val="00527CF9"/>
    <w:rsid w:val="00527D36"/>
    <w:rsid w:val="00527E9F"/>
    <w:rsid w:val="00527FA8"/>
    <w:rsid w:val="00527FCE"/>
    <w:rsid w:val="00527FF6"/>
    <w:rsid w:val="0053000E"/>
    <w:rsid w:val="0053011C"/>
    <w:rsid w:val="00530193"/>
    <w:rsid w:val="005301DB"/>
    <w:rsid w:val="00530336"/>
    <w:rsid w:val="00530669"/>
    <w:rsid w:val="005307D8"/>
    <w:rsid w:val="00530817"/>
    <w:rsid w:val="00530842"/>
    <w:rsid w:val="00530914"/>
    <w:rsid w:val="00530961"/>
    <w:rsid w:val="00530CB5"/>
    <w:rsid w:val="00530E20"/>
    <w:rsid w:val="00530F0C"/>
    <w:rsid w:val="005310CB"/>
    <w:rsid w:val="00531183"/>
    <w:rsid w:val="00531274"/>
    <w:rsid w:val="005313B7"/>
    <w:rsid w:val="0053141C"/>
    <w:rsid w:val="005314FA"/>
    <w:rsid w:val="0053172A"/>
    <w:rsid w:val="00531782"/>
    <w:rsid w:val="005319C4"/>
    <w:rsid w:val="00531F31"/>
    <w:rsid w:val="0053201F"/>
    <w:rsid w:val="005320ED"/>
    <w:rsid w:val="005321DC"/>
    <w:rsid w:val="005323B5"/>
    <w:rsid w:val="005325FA"/>
    <w:rsid w:val="0053273F"/>
    <w:rsid w:val="00532CFF"/>
    <w:rsid w:val="00532D6E"/>
    <w:rsid w:val="00532D76"/>
    <w:rsid w:val="00532E36"/>
    <w:rsid w:val="00532E40"/>
    <w:rsid w:val="00532EB2"/>
    <w:rsid w:val="0053303E"/>
    <w:rsid w:val="00533093"/>
    <w:rsid w:val="005333A3"/>
    <w:rsid w:val="0053342D"/>
    <w:rsid w:val="005335DE"/>
    <w:rsid w:val="005337B9"/>
    <w:rsid w:val="00533894"/>
    <w:rsid w:val="00533B46"/>
    <w:rsid w:val="00533C8B"/>
    <w:rsid w:val="00533DF4"/>
    <w:rsid w:val="00533F77"/>
    <w:rsid w:val="00533FB3"/>
    <w:rsid w:val="00534126"/>
    <w:rsid w:val="00534127"/>
    <w:rsid w:val="00534134"/>
    <w:rsid w:val="00534257"/>
    <w:rsid w:val="00534632"/>
    <w:rsid w:val="0053467A"/>
    <w:rsid w:val="005346CF"/>
    <w:rsid w:val="0053480E"/>
    <w:rsid w:val="00534B2D"/>
    <w:rsid w:val="00534C94"/>
    <w:rsid w:val="00534CB1"/>
    <w:rsid w:val="00534CD9"/>
    <w:rsid w:val="00534E5C"/>
    <w:rsid w:val="005350C9"/>
    <w:rsid w:val="005350DB"/>
    <w:rsid w:val="00535116"/>
    <w:rsid w:val="005351B3"/>
    <w:rsid w:val="005353F5"/>
    <w:rsid w:val="00535632"/>
    <w:rsid w:val="00535C9A"/>
    <w:rsid w:val="00535D3F"/>
    <w:rsid w:val="00535E3B"/>
    <w:rsid w:val="00536061"/>
    <w:rsid w:val="005360A4"/>
    <w:rsid w:val="00536371"/>
    <w:rsid w:val="0053637C"/>
    <w:rsid w:val="0053643A"/>
    <w:rsid w:val="0053651F"/>
    <w:rsid w:val="005366E9"/>
    <w:rsid w:val="00536999"/>
    <w:rsid w:val="00536D87"/>
    <w:rsid w:val="00537208"/>
    <w:rsid w:val="005372B9"/>
    <w:rsid w:val="005373E6"/>
    <w:rsid w:val="00537418"/>
    <w:rsid w:val="005374F6"/>
    <w:rsid w:val="00537645"/>
    <w:rsid w:val="0053767A"/>
    <w:rsid w:val="00537852"/>
    <w:rsid w:val="005379E5"/>
    <w:rsid w:val="005379F2"/>
    <w:rsid w:val="00537C1B"/>
    <w:rsid w:val="00537D08"/>
    <w:rsid w:val="00537D58"/>
    <w:rsid w:val="00537DA4"/>
    <w:rsid w:val="00537ECC"/>
    <w:rsid w:val="0054020E"/>
    <w:rsid w:val="00540275"/>
    <w:rsid w:val="005406A9"/>
    <w:rsid w:val="005408F9"/>
    <w:rsid w:val="00540A46"/>
    <w:rsid w:val="00540D7A"/>
    <w:rsid w:val="00540DCF"/>
    <w:rsid w:val="00540E4D"/>
    <w:rsid w:val="00540F4C"/>
    <w:rsid w:val="00540F6F"/>
    <w:rsid w:val="005411AE"/>
    <w:rsid w:val="00541287"/>
    <w:rsid w:val="00541345"/>
    <w:rsid w:val="0054146C"/>
    <w:rsid w:val="005414CE"/>
    <w:rsid w:val="0054174A"/>
    <w:rsid w:val="005418F7"/>
    <w:rsid w:val="00541997"/>
    <w:rsid w:val="00541B09"/>
    <w:rsid w:val="00541B63"/>
    <w:rsid w:val="00541C1F"/>
    <w:rsid w:val="00541F1E"/>
    <w:rsid w:val="00541F3E"/>
    <w:rsid w:val="005420E1"/>
    <w:rsid w:val="005421AE"/>
    <w:rsid w:val="005421D8"/>
    <w:rsid w:val="00542426"/>
    <w:rsid w:val="00542485"/>
    <w:rsid w:val="005425CA"/>
    <w:rsid w:val="0054273B"/>
    <w:rsid w:val="0054277C"/>
    <w:rsid w:val="00542AE3"/>
    <w:rsid w:val="00542B28"/>
    <w:rsid w:val="00542B8E"/>
    <w:rsid w:val="00542C9D"/>
    <w:rsid w:val="00542CF0"/>
    <w:rsid w:val="00542E92"/>
    <w:rsid w:val="0054306E"/>
    <w:rsid w:val="005431EC"/>
    <w:rsid w:val="0054332C"/>
    <w:rsid w:val="00543386"/>
    <w:rsid w:val="005433E0"/>
    <w:rsid w:val="00543534"/>
    <w:rsid w:val="005435ED"/>
    <w:rsid w:val="00543717"/>
    <w:rsid w:val="005437CD"/>
    <w:rsid w:val="005437E0"/>
    <w:rsid w:val="0054398E"/>
    <w:rsid w:val="00543A2D"/>
    <w:rsid w:val="00543AB6"/>
    <w:rsid w:val="00543B36"/>
    <w:rsid w:val="00544207"/>
    <w:rsid w:val="005442BF"/>
    <w:rsid w:val="00544363"/>
    <w:rsid w:val="005444C3"/>
    <w:rsid w:val="005445C8"/>
    <w:rsid w:val="005449BD"/>
    <w:rsid w:val="00544D6C"/>
    <w:rsid w:val="00544E7C"/>
    <w:rsid w:val="00544E9F"/>
    <w:rsid w:val="00544F12"/>
    <w:rsid w:val="00544F35"/>
    <w:rsid w:val="0054519A"/>
    <w:rsid w:val="0054535C"/>
    <w:rsid w:val="00545407"/>
    <w:rsid w:val="0054563D"/>
    <w:rsid w:val="00545645"/>
    <w:rsid w:val="00545A7C"/>
    <w:rsid w:val="00545C9B"/>
    <w:rsid w:val="00545F06"/>
    <w:rsid w:val="005462DC"/>
    <w:rsid w:val="00546503"/>
    <w:rsid w:val="005465CF"/>
    <w:rsid w:val="00546654"/>
    <w:rsid w:val="005469AA"/>
    <w:rsid w:val="00546AE7"/>
    <w:rsid w:val="00546B00"/>
    <w:rsid w:val="00546B9B"/>
    <w:rsid w:val="00546C08"/>
    <w:rsid w:val="00546C5B"/>
    <w:rsid w:val="00546F2A"/>
    <w:rsid w:val="00547288"/>
    <w:rsid w:val="005473C8"/>
    <w:rsid w:val="005475FD"/>
    <w:rsid w:val="005476D7"/>
    <w:rsid w:val="0054771D"/>
    <w:rsid w:val="005477A9"/>
    <w:rsid w:val="00547B1C"/>
    <w:rsid w:val="00547B91"/>
    <w:rsid w:val="00547D81"/>
    <w:rsid w:val="00547FD5"/>
    <w:rsid w:val="005500AB"/>
    <w:rsid w:val="005500C2"/>
    <w:rsid w:val="00550138"/>
    <w:rsid w:val="00550620"/>
    <w:rsid w:val="0055075B"/>
    <w:rsid w:val="0055094A"/>
    <w:rsid w:val="005509BD"/>
    <w:rsid w:val="00550A8E"/>
    <w:rsid w:val="00550CCE"/>
    <w:rsid w:val="00550D1E"/>
    <w:rsid w:val="00550D56"/>
    <w:rsid w:val="00550D78"/>
    <w:rsid w:val="0055104B"/>
    <w:rsid w:val="005516ED"/>
    <w:rsid w:val="00551951"/>
    <w:rsid w:val="00551C1B"/>
    <w:rsid w:val="00551E85"/>
    <w:rsid w:val="00551F1E"/>
    <w:rsid w:val="00552084"/>
    <w:rsid w:val="0055246B"/>
    <w:rsid w:val="005528EC"/>
    <w:rsid w:val="00552A22"/>
    <w:rsid w:val="00552BEF"/>
    <w:rsid w:val="00552DCA"/>
    <w:rsid w:val="00552EC0"/>
    <w:rsid w:val="00552F71"/>
    <w:rsid w:val="00553012"/>
    <w:rsid w:val="0055302E"/>
    <w:rsid w:val="00553257"/>
    <w:rsid w:val="00553383"/>
    <w:rsid w:val="005533D3"/>
    <w:rsid w:val="0055350E"/>
    <w:rsid w:val="005536C0"/>
    <w:rsid w:val="005536C3"/>
    <w:rsid w:val="005536E6"/>
    <w:rsid w:val="00553739"/>
    <w:rsid w:val="005539CF"/>
    <w:rsid w:val="00553E11"/>
    <w:rsid w:val="00553F43"/>
    <w:rsid w:val="00553F45"/>
    <w:rsid w:val="00553F9F"/>
    <w:rsid w:val="00553FAB"/>
    <w:rsid w:val="00554187"/>
    <w:rsid w:val="005542E9"/>
    <w:rsid w:val="005546E6"/>
    <w:rsid w:val="005549E9"/>
    <w:rsid w:val="00554CAB"/>
    <w:rsid w:val="00554F95"/>
    <w:rsid w:val="00554FB8"/>
    <w:rsid w:val="00555150"/>
    <w:rsid w:val="00555222"/>
    <w:rsid w:val="00555550"/>
    <w:rsid w:val="0055559F"/>
    <w:rsid w:val="00555684"/>
    <w:rsid w:val="0055589A"/>
    <w:rsid w:val="005558E2"/>
    <w:rsid w:val="00555927"/>
    <w:rsid w:val="00555A46"/>
    <w:rsid w:val="00555BB6"/>
    <w:rsid w:val="00555C43"/>
    <w:rsid w:val="00555DC8"/>
    <w:rsid w:val="00555DF0"/>
    <w:rsid w:val="00555F83"/>
    <w:rsid w:val="00555F98"/>
    <w:rsid w:val="005560BA"/>
    <w:rsid w:val="00556185"/>
    <w:rsid w:val="00556240"/>
    <w:rsid w:val="0055668C"/>
    <w:rsid w:val="00556690"/>
    <w:rsid w:val="005567F0"/>
    <w:rsid w:val="0055686C"/>
    <w:rsid w:val="0055699E"/>
    <w:rsid w:val="00556E4C"/>
    <w:rsid w:val="00556F0E"/>
    <w:rsid w:val="00556FAA"/>
    <w:rsid w:val="0055717B"/>
    <w:rsid w:val="005571BE"/>
    <w:rsid w:val="0055739E"/>
    <w:rsid w:val="00557477"/>
    <w:rsid w:val="00557597"/>
    <w:rsid w:val="005577E4"/>
    <w:rsid w:val="0055794E"/>
    <w:rsid w:val="00557986"/>
    <w:rsid w:val="005579E6"/>
    <w:rsid w:val="00557A3A"/>
    <w:rsid w:val="00557B9D"/>
    <w:rsid w:val="00557FDB"/>
    <w:rsid w:val="00560017"/>
    <w:rsid w:val="005600EA"/>
    <w:rsid w:val="00560143"/>
    <w:rsid w:val="005601DD"/>
    <w:rsid w:val="0056022B"/>
    <w:rsid w:val="00560382"/>
    <w:rsid w:val="005604A3"/>
    <w:rsid w:val="005604CF"/>
    <w:rsid w:val="005606E8"/>
    <w:rsid w:val="005608FD"/>
    <w:rsid w:val="00560B87"/>
    <w:rsid w:val="00560E79"/>
    <w:rsid w:val="00560FF1"/>
    <w:rsid w:val="0056107F"/>
    <w:rsid w:val="0056108F"/>
    <w:rsid w:val="005610DD"/>
    <w:rsid w:val="00561305"/>
    <w:rsid w:val="005613DA"/>
    <w:rsid w:val="005616AA"/>
    <w:rsid w:val="00561737"/>
    <w:rsid w:val="00561851"/>
    <w:rsid w:val="00561982"/>
    <w:rsid w:val="005619F1"/>
    <w:rsid w:val="00561A5A"/>
    <w:rsid w:val="00561BA0"/>
    <w:rsid w:val="00561C27"/>
    <w:rsid w:val="00561D43"/>
    <w:rsid w:val="00561EE7"/>
    <w:rsid w:val="00561F3A"/>
    <w:rsid w:val="00562025"/>
    <w:rsid w:val="00562033"/>
    <w:rsid w:val="005620F6"/>
    <w:rsid w:val="0056218F"/>
    <w:rsid w:val="00562551"/>
    <w:rsid w:val="0056267F"/>
    <w:rsid w:val="005628B1"/>
    <w:rsid w:val="00562C16"/>
    <w:rsid w:val="00562C9A"/>
    <w:rsid w:val="00562EE2"/>
    <w:rsid w:val="00562F1C"/>
    <w:rsid w:val="00562FE1"/>
    <w:rsid w:val="005632C7"/>
    <w:rsid w:val="0056346D"/>
    <w:rsid w:val="00563886"/>
    <w:rsid w:val="0056398D"/>
    <w:rsid w:val="00563A92"/>
    <w:rsid w:val="00563C73"/>
    <w:rsid w:val="00563DB3"/>
    <w:rsid w:val="00563DD0"/>
    <w:rsid w:val="00563ED3"/>
    <w:rsid w:val="00563EE0"/>
    <w:rsid w:val="005642A5"/>
    <w:rsid w:val="005642B1"/>
    <w:rsid w:val="005643C2"/>
    <w:rsid w:val="005643F2"/>
    <w:rsid w:val="00564597"/>
    <w:rsid w:val="00564709"/>
    <w:rsid w:val="00564C6E"/>
    <w:rsid w:val="00564E52"/>
    <w:rsid w:val="00564E69"/>
    <w:rsid w:val="00564EF2"/>
    <w:rsid w:val="0056514B"/>
    <w:rsid w:val="005652FB"/>
    <w:rsid w:val="00565448"/>
    <w:rsid w:val="00565599"/>
    <w:rsid w:val="005656A6"/>
    <w:rsid w:val="00565791"/>
    <w:rsid w:val="00565859"/>
    <w:rsid w:val="0056598F"/>
    <w:rsid w:val="00565A98"/>
    <w:rsid w:val="00565B64"/>
    <w:rsid w:val="00565C38"/>
    <w:rsid w:val="00565E72"/>
    <w:rsid w:val="005660E6"/>
    <w:rsid w:val="0056614B"/>
    <w:rsid w:val="00566302"/>
    <w:rsid w:val="0056637C"/>
    <w:rsid w:val="005663E1"/>
    <w:rsid w:val="005663F2"/>
    <w:rsid w:val="00566406"/>
    <w:rsid w:val="00566426"/>
    <w:rsid w:val="00566543"/>
    <w:rsid w:val="00566545"/>
    <w:rsid w:val="00566660"/>
    <w:rsid w:val="0056668E"/>
    <w:rsid w:val="00566749"/>
    <w:rsid w:val="00566A00"/>
    <w:rsid w:val="00566B14"/>
    <w:rsid w:val="00566DC0"/>
    <w:rsid w:val="00567059"/>
    <w:rsid w:val="005671A1"/>
    <w:rsid w:val="005674F3"/>
    <w:rsid w:val="00567527"/>
    <w:rsid w:val="00567636"/>
    <w:rsid w:val="005677F5"/>
    <w:rsid w:val="005678B8"/>
    <w:rsid w:val="0056793E"/>
    <w:rsid w:val="00567B6B"/>
    <w:rsid w:val="00567B9E"/>
    <w:rsid w:val="00567D73"/>
    <w:rsid w:val="0057023C"/>
    <w:rsid w:val="0057039F"/>
    <w:rsid w:val="0057054A"/>
    <w:rsid w:val="00570751"/>
    <w:rsid w:val="005708D2"/>
    <w:rsid w:val="00570978"/>
    <w:rsid w:val="00570A93"/>
    <w:rsid w:val="00570D2C"/>
    <w:rsid w:val="00571144"/>
    <w:rsid w:val="005711C2"/>
    <w:rsid w:val="005712C9"/>
    <w:rsid w:val="0057134A"/>
    <w:rsid w:val="005714EF"/>
    <w:rsid w:val="0057159D"/>
    <w:rsid w:val="005717AB"/>
    <w:rsid w:val="005717C6"/>
    <w:rsid w:val="00571813"/>
    <w:rsid w:val="005718FA"/>
    <w:rsid w:val="00571912"/>
    <w:rsid w:val="00571937"/>
    <w:rsid w:val="00571A0F"/>
    <w:rsid w:val="00571A19"/>
    <w:rsid w:val="00571C94"/>
    <w:rsid w:val="00571CCE"/>
    <w:rsid w:val="00571D8F"/>
    <w:rsid w:val="00571F7E"/>
    <w:rsid w:val="00572067"/>
    <w:rsid w:val="005721EB"/>
    <w:rsid w:val="005723AC"/>
    <w:rsid w:val="005724D5"/>
    <w:rsid w:val="005725CD"/>
    <w:rsid w:val="0057268F"/>
    <w:rsid w:val="005726B6"/>
    <w:rsid w:val="005726C8"/>
    <w:rsid w:val="00572738"/>
    <w:rsid w:val="00572844"/>
    <w:rsid w:val="005728A4"/>
    <w:rsid w:val="005729D1"/>
    <w:rsid w:val="00572CB0"/>
    <w:rsid w:val="00572D06"/>
    <w:rsid w:val="00573068"/>
    <w:rsid w:val="0057359E"/>
    <w:rsid w:val="005735D3"/>
    <w:rsid w:val="005737EB"/>
    <w:rsid w:val="00573AA1"/>
    <w:rsid w:val="00573B6F"/>
    <w:rsid w:val="00573C38"/>
    <w:rsid w:val="00573CED"/>
    <w:rsid w:val="00573E58"/>
    <w:rsid w:val="00573E6D"/>
    <w:rsid w:val="00574019"/>
    <w:rsid w:val="00574027"/>
    <w:rsid w:val="005741C0"/>
    <w:rsid w:val="0057429E"/>
    <w:rsid w:val="00574715"/>
    <w:rsid w:val="00574774"/>
    <w:rsid w:val="0057480E"/>
    <w:rsid w:val="0057497C"/>
    <w:rsid w:val="00574BA3"/>
    <w:rsid w:val="00574D6D"/>
    <w:rsid w:val="0057548E"/>
    <w:rsid w:val="0057549B"/>
    <w:rsid w:val="005754A1"/>
    <w:rsid w:val="0057560D"/>
    <w:rsid w:val="005758A0"/>
    <w:rsid w:val="005758C3"/>
    <w:rsid w:val="00575C8A"/>
    <w:rsid w:val="00575E50"/>
    <w:rsid w:val="0057602B"/>
    <w:rsid w:val="005762E0"/>
    <w:rsid w:val="00576398"/>
    <w:rsid w:val="005764DA"/>
    <w:rsid w:val="00576586"/>
    <w:rsid w:val="00576655"/>
    <w:rsid w:val="00576D47"/>
    <w:rsid w:val="00576E0E"/>
    <w:rsid w:val="00576E69"/>
    <w:rsid w:val="00576EB6"/>
    <w:rsid w:val="00576FBE"/>
    <w:rsid w:val="005770CE"/>
    <w:rsid w:val="00577131"/>
    <w:rsid w:val="005771D7"/>
    <w:rsid w:val="005772A2"/>
    <w:rsid w:val="00577360"/>
    <w:rsid w:val="005777F1"/>
    <w:rsid w:val="0057797E"/>
    <w:rsid w:val="00577A62"/>
    <w:rsid w:val="00577B51"/>
    <w:rsid w:val="00577BA8"/>
    <w:rsid w:val="00577BD0"/>
    <w:rsid w:val="00577DC3"/>
    <w:rsid w:val="00577EBF"/>
    <w:rsid w:val="00580364"/>
    <w:rsid w:val="005804C7"/>
    <w:rsid w:val="005806F9"/>
    <w:rsid w:val="005807B8"/>
    <w:rsid w:val="00580834"/>
    <w:rsid w:val="0058085F"/>
    <w:rsid w:val="00580CA1"/>
    <w:rsid w:val="00580D4D"/>
    <w:rsid w:val="00580EEF"/>
    <w:rsid w:val="00581110"/>
    <w:rsid w:val="00581416"/>
    <w:rsid w:val="00581417"/>
    <w:rsid w:val="005814F9"/>
    <w:rsid w:val="00581554"/>
    <w:rsid w:val="005815E7"/>
    <w:rsid w:val="005817C5"/>
    <w:rsid w:val="00581816"/>
    <w:rsid w:val="00581C98"/>
    <w:rsid w:val="00581D79"/>
    <w:rsid w:val="00581E98"/>
    <w:rsid w:val="005820A1"/>
    <w:rsid w:val="0058217D"/>
    <w:rsid w:val="00582269"/>
    <w:rsid w:val="0058226E"/>
    <w:rsid w:val="00582668"/>
    <w:rsid w:val="00582937"/>
    <w:rsid w:val="005829F0"/>
    <w:rsid w:val="00582A3C"/>
    <w:rsid w:val="00582D34"/>
    <w:rsid w:val="00582D45"/>
    <w:rsid w:val="00582E2E"/>
    <w:rsid w:val="00583103"/>
    <w:rsid w:val="0058311C"/>
    <w:rsid w:val="00583132"/>
    <w:rsid w:val="0058318B"/>
    <w:rsid w:val="005831C6"/>
    <w:rsid w:val="00583298"/>
    <w:rsid w:val="005833A9"/>
    <w:rsid w:val="00583470"/>
    <w:rsid w:val="005834D5"/>
    <w:rsid w:val="005836FA"/>
    <w:rsid w:val="00583745"/>
    <w:rsid w:val="00583A46"/>
    <w:rsid w:val="00583A79"/>
    <w:rsid w:val="00583F72"/>
    <w:rsid w:val="005843E2"/>
    <w:rsid w:val="005844D8"/>
    <w:rsid w:val="00584757"/>
    <w:rsid w:val="00584957"/>
    <w:rsid w:val="00584A84"/>
    <w:rsid w:val="00584C1C"/>
    <w:rsid w:val="00584CDF"/>
    <w:rsid w:val="00584DB1"/>
    <w:rsid w:val="00584F12"/>
    <w:rsid w:val="00585134"/>
    <w:rsid w:val="0058521B"/>
    <w:rsid w:val="0058538C"/>
    <w:rsid w:val="00585509"/>
    <w:rsid w:val="0058580C"/>
    <w:rsid w:val="00585B2D"/>
    <w:rsid w:val="00585CAC"/>
    <w:rsid w:val="00585D5D"/>
    <w:rsid w:val="00585D8B"/>
    <w:rsid w:val="00585F00"/>
    <w:rsid w:val="00585F0F"/>
    <w:rsid w:val="00585F75"/>
    <w:rsid w:val="00585FE8"/>
    <w:rsid w:val="0058630B"/>
    <w:rsid w:val="0058637C"/>
    <w:rsid w:val="005863FB"/>
    <w:rsid w:val="00586424"/>
    <w:rsid w:val="005864FE"/>
    <w:rsid w:val="005865A9"/>
    <w:rsid w:val="00586607"/>
    <w:rsid w:val="00586662"/>
    <w:rsid w:val="00586695"/>
    <w:rsid w:val="005866AB"/>
    <w:rsid w:val="00586842"/>
    <w:rsid w:val="00586856"/>
    <w:rsid w:val="005868AA"/>
    <w:rsid w:val="00586B92"/>
    <w:rsid w:val="00586C2F"/>
    <w:rsid w:val="00586E50"/>
    <w:rsid w:val="0058726D"/>
    <w:rsid w:val="005872C6"/>
    <w:rsid w:val="0058769F"/>
    <w:rsid w:val="0058772E"/>
    <w:rsid w:val="00587751"/>
    <w:rsid w:val="005878E1"/>
    <w:rsid w:val="00587BFD"/>
    <w:rsid w:val="00587C79"/>
    <w:rsid w:val="00587D6B"/>
    <w:rsid w:val="0059006A"/>
    <w:rsid w:val="00590155"/>
    <w:rsid w:val="0059015B"/>
    <w:rsid w:val="005901F0"/>
    <w:rsid w:val="00590248"/>
    <w:rsid w:val="0059025B"/>
    <w:rsid w:val="005902B7"/>
    <w:rsid w:val="005902E7"/>
    <w:rsid w:val="00590607"/>
    <w:rsid w:val="00590696"/>
    <w:rsid w:val="0059073D"/>
    <w:rsid w:val="0059077A"/>
    <w:rsid w:val="00590865"/>
    <w:rsid w:val="00590A4A"/>
    <w:rsid w:val="00590AAF"/>
    <w:rsid w:val="00590BBC"/>
    <w:rsid w:val="00590BDB"/>
    <w:rsid w:val="00590BFD"/>
    <w:rsid w:val="00590ECE"/>
    <w:rsid w:val="00590F89"/>
    <w:rsid w:val="00591078"/>
    <w:rsid w:val="005911B0"/>
    <w:rsid w:val="005914BD"/>
    <w:rsid w:val="005918DD"/>
    <w:rsid w:val="0059191D"/>
    <w:rsid w:val="00591D96"/>
    <w:rsid w:val="00591DA5"/>
    <w:rsid w:val="00591EB6"/>
    <w:rsid w:val="00591F68"/>
    <w:rsid w:val="00591F7B"/>
    <w:rsid w:val="0059222D"/>
    <w:rsid w:val="005924A9"/>
    <w:rsid w:val="005924AD"/>
    <w:rsid w:val="005924EE"/>
    <w:rsid w:val="0059290C"/>
    <w:rsid w:val="00592961"/>
    <w:rsid w:val="00592AE1"/>
    <w:rsid w:val="00592AF6"/>
    <w:rsid w:val="00592B42"/>
    <w:rsid w:val="00592BCB"/>
    <w:rsid w:val="00592EB2"/>
    <w:rsid w:val="00592EFC"/>
    <w:rsid w:val="005932DF"/>
    <w:rsid w:val="00593395"/>
    <w:rsid w:val="005933DD"/>
    <w:rsid w:val="0059349F"/>
    <w:rsid w:val="00593777"/>
    <w:rsid w:val="005937F0"/>
    <w:rsid w:val="00593896"/>
    <w:rsid w:val="005938E9"/>
    <w:rsid w:val="0059396F"/>
    <w:rsid w:val="00593B51"/>
    <w:rsid w:val="0059416A"/>
    <w:rsid w:val="0059418C"/>
    <w:rsid w:val="005941D2"/>
    <w:rsid w:val="005942C3"/>
    <w:rsid w:val="0059434D"/>
    <w:rsid w:val="00594584"/>
    <w:rsid w:val="00594817"/>
    <w:rsid w:val="00594973"/>
    <w:rsid w:val="00594C7D"/>
    <w:rsid w:val="00594D17"/>
    <w:rsid w:val="00594EB3"/>
    <w:rsid w:val="00594F3F"/>
    <w:rsid w:val="005955B6"/>
    <w:rsid w:val="00595852"/>
    <w:rsid w:val="00595D76"/>
    <w:rsid w:val="00595E25"/>
    <w:rsid w:val="00596004"/>
    <w:rsid w:val="0059605B"/>
    <w:rsid w:val="00596126"/>
    <w:rsid w:val="005961DB"/>
    <w:rsid w:val="00596311"/>
    <w:rsid w:val="0059631E"/>
    <w:rsid w:val="00596477"/>
    <w:rsid w:val="0059655A"/>
    <w:rsid w:val="0059684C"/>
    <w:rsid w:val="005969D7"/>
    <w:rsid w:val="00596A6A"/>
    <w:rsid w:val="00596AE3"/>
    <w:rsid w:val="00596B1E"/>
    <w:rsid w:val="00596CA7"/>
    <w:rsid w:val="00596CEE"/>
    <w:rsid w:val="00596D88"/>
    <w:rsid w:val="00596D9D"/>
    <w:rsid w:val="00596E04"/>
    <w:rsid w:val="005971EF"/>
    <w:rsid w:val="005972D4"/>
    <w:rsid w:val="0059749D"/>
    <w:rsid w:val="005975BF"/>
    <w:rsid w:val="0059790C"/>
    <w:rsid w:val="005979AC"/>
    <w:rsid w:val="00597B12"/>
    <w:rsid w:val="00597F11"/>
    <w:rsid w:val="005A0070"/>
    <w:rsid w:val="005A0099"/>
    <w:rsid w:val="005A00B9"/>
    <w:rsid w:val="005A02C6"/>
    <w:rsid w:val="005A0412"/>
    <w:rsid w:val="005A054C"/>
    <w:rsid w:val="005A05F3"/>
    <w:rsid w:val="005A083A"/>
    <w:rsid w:val="005A0915"/>
    <w:rsid w:val="005A0C21"/>
    <w:rsid w:val="005A0F84"/>
    <w:rsid w:val="005A0FB9"/>
    <w:rsid w:val="005A0FD6"/>
    <w:rsid w:val="005A0FF0"/>
    <w:rsid w:val="005A1541"/>
    <w:rsid w:val="005A1544"/>
    <w:rsid w:val="005A15C1"/>
    <w:rsid w:val="005A1661"/>
    <w:rsid w:val="005A16FC"/>
    <w:rsid w:val="005A1816"/>
    <w:rsid w:val="005A19A1"/>
    <w:rsid w:val="005A19DA"/>
    <w:rsid w:val="005A1A02"/>
    <w:rsid w:val="005A1BB1"/>
    <w:rsid w:val="005A1C06"/>
    <w:rsid w:val="005A1D1B"/>
    <w:rsid w:val="005A1D82"/>
    <w:rsid w:val="005A1DB5"/>
    <w:rsid w:val="005A1E08"/>
    <w:rsid w:val="005A1FE9"/>
    <w:rsid w:val="005A203A"/>
    <w:rsid w:val="005A2661"/>
    <w:rsid w:val="005A266B"/>
    <w:rsid w:val="005A28F7"/>
    <w:rsid w:val="005A2905"/>
    <w:rsid w:val="005A2939"/>
    <w:rsid w:val="005A2A9A"/>
    <w:rsid w:val="005A2AF3"/>
    <w:rsid w:val="005A2B47"/>
    <w:rsid w:val="005A2B8F"/>
    <w:rsid w:val="005A2C64"/>
    <w:rsid w:val="005A2DEE"/>
    <w:rsid w:val="005A2E74"/>
    <w:rsid w:val="005A33EE"/>
    <w:rsid w:val="005A344C"/>
    <w:rsid w:val="005A34FC"/>
    <w:rsid w:val="005A34FF"/>
    <w:rsid w:val="005A3504"/>
    <w:rsid w:val="005A38B7"/>
    <w:rsid w:val="005A3CA0"/>
    <w:rsid w:val="005A3E4C"/>
    <w:rsid w:val="005A405C"/>
    <w:rsid w:val="005A4451"/>
    <w:rsid w:val="005A4488"/>
    <w:rsid w:val="005A4599"/>
    <w:rsid w:val="005A460E"/>
    <w:rsid w:val="005A4625"/>
    <w:rsid w:val="005A4655"/>
    <w:rsid w:val="005A4929"/>
    <w:rsid w:val="005A4B14"/>
    <w:rsid w:val="005A4C32"/>
    <w:rsid w:val="005A4D37"/>
    <w:rsid w:val="005A4E4B"/>
    <w:rsid w:val="005A4FB3"/>
    <w:rsid w:val="005A5064"/>
    <w:rsid w:val="005A50BE"/>
    <w:rsid w:val="005A5113"/>
    <w:rsid w:val="005A51E4"/>
    <w:rsid w:val="005A5B59"/>
    <w:rsid w:val="005A5BAF"/>
    <w:rsid w:val="005A5DF6"/>
    <w:rsid w:val="005A5E22"/>
    <w:rsid w:val="005A5EC2"/>
    <w:rsid w:val="005A5ED8"/>
    <w:rsid w:val="005A60C6"/>
    <w:rsid w:val="005A60E5"/>
    <w:rsid w:val="005A60FF"/>
    <w:rsid w:val="005A6118"/>
    <w:rsid w:val="005A61E2"/>
    <w:rsid w:val="005A64EB"/>
    <w:rsid w:val="005A658A"/>
    <w:rsid w:val="005A661D"/>
    <w:rsid w:val="005A674B"/>
    <w:rsid w:val="005A679E"/>
    <w:rsid w:val="005A69AA"/>
    <w:rsid w:val="005A69C9"/>
    <w:rsid w:val="005A69DB"/>
    <w:rsid w:val="005A6A1F"/>
    <w:rsid w:val="005A6A94"/>
    <w:rsid w:val="005A6D4B"/>
    <w:rsid w:val="005A6DAB"/>
    <w:rsid w:val="005A7189"/>
    <w:rsid w:val="005A751F"/>
    <w:rsid w:val="005A7618"/>
    <w:rsid w:val="005A761C"/>
    <w:rsid w:val="005A7663"/>
    <w:rsid w:val="005A785B"/>
    <w:rsid w:val="005A79D1"/>
    <w:rsid w:val="005A7D62"/>
    <w:rsid w:val="005B0265"/>
    <w:rsid w:val="005B02A4"/>
    <w:rsid w:val="005B03AA"/>
    <w:rsid w:val="005B0BFF"/>
    <w:rsid w:val="005B0D00"/>
    <w:rsid w:val="005B0DCB"/>
    <w:rsid w:val="005B0ED1"/>
    <w:rsid w:val="005B1115"/>
    <w:rsid w:val="005B1250"/>
    <w:rsid w:val="005B12C4"/>
    <w:rsid w:val="005B150C"/>
    <w:rsid w:val="005B16BC"/>
    <w:rsid w:val="005B1BB2"/>
    <w:rsid w:val="005B1BE7"/>
    <w:rsid w:val="005B1C23"/>
    <w:rsid w:val="005B1C66"/>
    <w:rsid w:val="005B204E"/>
    <w:rsid w:val="005B20E4"/>
    <w:rsid w:val="005B216F"/>
    <w:rsid w:val="005B21DF"/>
    <w:rsid w:val="005B24E4"/>
    <w:rsid w:val="005B254F"/>
    <w:rsid w:val="005B26A0"/>
    <w:rsid w:val="005B2940"/>
    <w:rsid w:val="005B2984"/>
    <w:rsid w:val="005B2ABD"/>
    <w:rsid w:val="005B2E7A"/>
    <w:rsid w:val="005B33DD"/>
    <w:rsid w:val="005B3514"/>
    <w:rsid w:val="005B3711"/>
    <w:rsid w:val="005B3798"/>
    <w:rsid w:val="005B3ABB"/>
    <w:rsid w:val="005B3AED"/>
    <w:rsid w:val="005B3B10"/>
    <w:rsid w:val="005B3BD0"/>
    <w:rsid w:val="005B3DFF"/>
    <w:rsid w:val="005B414A"/>
    <w:rsid w:val="005B4192"/>
    <w:rsid w:val="005B4425"/>
    <w:rsid w:val="005B44F6"/>
    <w:rsid w:val="005B460C"/>
    <w:rsid w:val="005B4873"/>
    <w:rsid w:val="005B4B55"/>
    <w:rsid w:val="005B4BA2"/>
    <w:rsid w:val="005B4C6E"/>
    <w:rsid w:val="005B4D11"/>
    <w:rsid w:val="005B4D17"/>
    <w:rsid w:val="005B4D3E"/>
    <w:rsid w:val="005B4F39"/>
    <w:rsid w:val="005B50B7"/>
    <w:rsid w:val="005B5170"/>
    <w:rsid w:val="005B523E"/>
    <w:rsid w:val="005B52A8"/>
    <w:rsid w:val="005B52B8"/>
    <w:rsid w:val="005B541D"/>
    <w:rsid w:val="005B568D"/>
    <w:rsid w:val="005B5738"/>
    <w:rsid w:val="005B57F9"/>
    <w:rsid w:val="005B59AB"/>
    <w:rsid w:val="005B5DFC"/>
    <w:rsid w:val="005B5E54"/>
    <w:rsid w:val="005B5EAA"/>
    <w:rsid w:val="005B5EC9"/>
    <w:rsid w:val="005B5F65"/>
    <w:rsid w:val="005B62D4"/>
    <w:rsid w:val="005B63CB"/>
    <w:rsid w:val="005B6431"/>
    <w:rsid w:val="005B6572"/>
    <w:rsid w:val="005B65DE"/>
    <w:rsid w:val="005B6746"/>
    <w:rsid w:val="005B67FB"/>
    <w:rsid w:val="005B68D6"/>
    <w:rsid w:val="005B6936"/>
    <w:rsid w:val="005B6A80"/>
    <w:rsid w:val="005B6AE1"/>
    <w:rsid w:val="005B6CE9"/>
    <w:rsid w:val="005B6D36"/>
    <w:rsid w:val="005B71DA"/>
    <w:rsid w:val="005B7259"/>
    <w:rsid w:val="005B72CB"/>
    <w:rsid w:val="005B7923"/>
    <w:rsid w:val="005B7A14"/>
    <w:rsid w:val="005B7A30"/>
    <w:rsid w:val="005B7CE3"/>
    <w:rsid w:val="005B7E09"/>
    <w:rsid w:val="005B7E2A"/>
    <w:rsid w:val="005B7FA8"/>
    <w:rsid w:val="005C0034"/>
    <w:rsid w:val="005C0072"/>
    <w:rsid w:val="005C00A0"/>
    <w:rsid w:val="005C00ED"/>
    <w:rsid w:val="005C012E"/>
    <w:rsid w:val="005C0187"/>
    <w:rsid w:val="005C0630"/>
    <w:rsid w:val="005C06C9"/>
    <w:rsid w:val="005C0A7D"/>
    <w:rsid w:val="005C0D11"/>
    <w:rsid w:val="005C0DB6"/>
    <w:rsid w:val="005C158B"/>
    <w:rsid w:val="005C1870"/>
    <w:rsid w:val="005C194E"/>
    <w:rsid w:val="005C1A89"/>
    <w:rsid w:val="005C1E80"/>
    <w:rsid w:val="005C205F"/>
    <w:rsid w:val="005C20F1"/>
    <w:rsid w:val="005C22D7"/>
    <w:rsid w:val="005C2339"/>
    <w:rsid w:val="005C2372"/>
    <w:rsid w:val="005C2505"/>
    <w:rsid w:val="005C28B3"/>
    <w:rsid w:val="005C2C53"/>
    <w:rsid w:val="005C2E16"/>
    <w:rsid w:val="005C2E19"/>
    <w:rsid w:val="005C2E32"/>
    <w:rsid w:val="005C303B"/>
    <w:rsid w:val="005C3094"/>
    <w:rsid w:val="005C344F"/>
    <w:rsid w:val="005C354A"/>
    <w:rsid w:val="005C3680"/>
    <w:rsid w:val="005C3721"/>
    <w:rsid w:val="005C3830"/>
    <w:rsid w:val="005C39C8"/>
    <w:rsid w:val="005C3C49"/>
    <w:rsid w:val="005C3CE8"/>
    <w:rsid w:val="005C4254"/>
    <w:rsid w:val="005C4317"/>
    <w:rsid w:val="005C4361"/>
    <w:rsid w:val="005C43DA"/>
    <w:rsid w:val="005C4446"/>
    <w:rsid w:val="005C4524"/>
    <w:rsid w:val="005C48C3"/>
    <w:rsid w:val="005C4938"/>
    <w:rsid w:val="005C49DE"/>
    <w:rsid w:val="005C4B14"/>
    <w:rsid w:val="005C4B5E"/>
    <w:rsid w:val="005C4B64"/>
    <w:rsid w:val="005C4D18"/>
    <w:rsid w:val="005C4D5A"/>
    <w:rsid w:val="005C4ECE"/>
    <w:rsid w:val="005C4F11"/>
    <w:rsid w:val="005C4F8A"/>
    <w:rsid w:val="005C502B"/>
    <w:rsid w:val="005C5067"/>
    <w:rsid w:val="005C520C"/>
    <w:rsid w:val="005C52FB"/>
    <w:rsid w:val="005C55B3"/>
    <w:rsid w:val="005C569D"/>
    <w:rsid w:val="005C573B"/>
    <w:rsid w:val="005C5827"/>
    <w:rsid w:val="005C5D4E"/>
    <w:rsid w:val="005C5DC3"/>
    <w:rsid w:val="005C5F33"/>
    <w:rsid w:val="005C5F7F"/>
    <w:rsid w:val="005C62AF"/>
    <w:rsid w:val="005C64B5"/>
    <w:rsid w:val="005C679D"/>
    <w:rsid w:val="005C6822"/>
    <w:rsid w:val="005C6A31"/>
    <w:rsid w:val="005C6B68"/>
    <w:rsid w:val="005C6C3F"/>
    <w:rsid w:val="005C6D33"/>
    <w:rsid w:val="005C6E54"/>
    <w:rsid w:val="005C6EC0"/>
    <w:rsid w:val="005C7183"/>
    <w:rsid w:val="005C7289"/>
    <w:rsid w:val="005C732A"/>
    <w:rsid w:val="005C75EE"/>
    <w:rsid w:val="005C7628"/>
    <w:rsid w:val="005C7860"/>
    <w:rsid w:val="005C7972"/>
    <w:rsid w:val="005C7BCA"/>
    <w:rsid w:val="005C7C19"/>
    <w:rsid w:val="005C7E0B"/>
    <w:rsid w:val="005C7E90"/>
    <w:rsid w:val="005C7EA8"/>
    <w:rsid w:val="005D00A9"/>
    <w:rsid w:val="005D0364"/>
    <w:rsid w:val="005D03F5"/>
    <w:rsid w:val="005D0437"/>
    <w:rsid w:val="005D058E"/>
    <w:rsid w:val="005D05F5"/>
    <w:rsid w:val="005D09F0"/>
    <w:rsid w:val="005D0AE1"/>
    <w:rsid w:val="005D0B2D"/>
    <w:rsid w:val="005D0BA3"/>
    <w:rsid w:val="005D0D16"/>
    <w:rsid w:val="005D0DA4"/>
    <w:rsid w:val="005D0DBB"/>
    <w:rsid w:val="005D1211"/>
    <w:rsid w:val="005D12D2"/>
    <w:rsid w:val="005D15AA"/>
    <w:rsid w:val="005D1703"/>
    <w:rsid w:val="005D17D3"/>
    <w:rsid w:val="005D1847"/>
    <w:rsid w:val="005D1880"/>
    <w:rsid w:val="005D1A5A"/>
    <w:rsid w:val="005D1ABE"/>
    <w:rsid w:val="005D1C26"/>
    <w:rsid w:val="005D1C37"/>
    <w:rsid w:val="005D1DC3"/>
    <w:rsid w:val="005D200C"/>
    <w:rsid w:val="005D2139"/>
    <w:rsid w:val="005D215D"/>
    <w:rsid w:val="005D2201"/>
    <w:rsid w:val="005D2467"/>
    <w:rsid w:val="005D2952"/>
    <w:rsid w:val="005D2B51"/>
    <w:rsid w:val="005D2DBE"/>
    <w:rsid w:val="005D339F"/>
    <w:rsid w:val="005D33ED"/>
    <w:rsid w:val="005D34AC"/>
    <w:rsid w:val="005D387F"/>
    <w:rsid w:val="005D38D5"/>
    <w:rsid w:val="005D39D7"/>
    <w:rsid w:val="005D3C66"/>
    <w:rsid w:val="005D3E60"/>
    <w:rsid w:val="005D3ED0"/>
    <w:rsid w:val="005D3F85"/>
    <w:rsid w:val="005D404A"/>
    <w:rsid w:val="005D44F0"/>
    <w:rsid w:val="005D450B"/>
    <w:rsid w:val="005D468E"/>
    <w:rsid w:val="005D4881"/>
    <w:rsid w:val="005D49ED"/>
    <w:rsid w:val="005D4A7C"/>
    <w:rsid w:val="005D4AA1"/>
    <w:rsid w:val="005D4C89"/>
    <w:rsid w:val="005D4EEA"/>
    <w:rsid w:val="005D4FE7"/>
    <w:rsid w:val="005D5125"/>
    <w:rsid w:val="005D52EF"/>
    <w:rsid w:val="005D5348"/>
    <w:rsid w:val="005D558C"/>
    <w:rsid w:val="005D5639"/>
    <w:rsid w:val="005D5654"/>
    <w:rsid w:val="005D57BD"/>
    <w:rsid w:val="005D580D"/>
    <w:rsid w:val="005D5840"/>
    <w:rsid w:val="005D5931"/>
    <w:rsid w:val="005D5C26"/>
    <w:rsid w:val="005D5CC9"/>
    <w:rsid w:val="005D5D38"/>
    <w:rsid w:val="005D5F57"/>
    <w:rsid w:val="005D6221"/>
    <w:rsid w:val="005D62CA"/>
    <w:rsid w:val="005D62F5"/>
    <w:rsid w:val="005D6554"/>
    <w:rsid w:val="005D68A3"/>
    <w:rsid w:val="005D6984"/>
    <w:rsid w:val="005D6A05"/>
    <w:rsid w:val="005D6D6B"/>
    <w:rsid w:val="005D6DCB"/>
    <w:rsid w:val="005D6ECB"/>
    <w:rsid w:val="005D6ED5"/>
    <w:rsid w:val="005D70D9"/>
    <w:rsid w:val="005D713C"/>
    <w:rsid w:val="005D7146"/>
    <w:rsid w:val="005D7175"/>
    <w:rsid w:val="005D7361"/>
    <w:rsid w:val="005D73A9"/>
    <w:rsid w:val="005D73CC"/>
    <w:rsid w:val="005D740D"/>
    <w:rsid w:val="005D74BD"/>
    <w:rsid w:val="005D783F"/>
    <w:rsid w:val="005D7A88"/>
    <w:rsid w:val="005D7B47"/>
    <w:rsid w:val="005D7C7C"/>
    <w:rsid w:val="005D7FEE"/>
    <w:rsid w:val="005E02B6"/>
    <w:rsid w:val="005E036B"/>
    <w:rsid w:val="005E05BA"/>
    <w:rsid w:val="005E0787"/>
    <w:rsid w:val="005E0824"/>
    <w:rsid w:val="005E097D"/>
    <w:rsid w:val="005E0A71"/>
    <w:rsid w:val="005E0BB4"/>
    <w:rsid w:val="005E0E01"/>
    <w:rsid w:val="005E0F92"/>
    <w:rsid w:val="005E112D"/>
    <w:rsid w:val="005E1135"/>
    <w:rsid w:val="005E1198"/>
    <w:rsid w:val="005E11BC"/>
    <w:rsid w:val="005E13F2"/>
    <w:rsid w:val="005E181B"/>
    <w:rsid w:val="005E1AC1"/>
    <w:rsid w:val="005E1EFF"/>
    <w:rsid w:val="005E1FFF"/>
    <w:rsid w:val="005E2138"/>
    <w:rsid w:val="005E2434"/>
    <w:rsid w:val="005E2488"/>
    <w:rsid w:val="005E24F0"/>
    <w:rsid w:val="005E2528"/>
    <w:rsid w:val="005E261E"/>
    <w:rsid w:val="005E263A"/>
    <w:rsid w:val="005E275D"/>
    <w:rsid w:val="005E27F1"/>
    <w:rsid w:val="005E2863"/>
    <w:rsid w:val="005E2921"/>
    <w:rsid w:val="005E29AD"/>
    <w:rsid w:val="005E2B8B"/>
    <w:rsid w:val="005E2B98"/>
    <w:rsid w:val="005E2DF7"/>
    <w:rsid w:val="005E2E6D"/>
    <w:rsid w:val="005E2F07"/>
    <w:rsid w:val="005E31C5"/>
    <w:rsid w:val="005E31D3"/>
    <w:rsid w:val="005E35B1"/>
    <w:rsid w:val="005E3925"/>
    <w:rsid w:val="005E394C"/>
    <w:rsid w:val="005E397B"/>
    <w:rsid w:val="005E399A"/>
    <w:rsid w:val="005E3A74"/>
    <w:rsid w:val="005E3EAC"/>
    <w:rsid w:val="005E40FF"/>
    <w:rsid w:val="005E4202"/>
    <w:rsid w:val="005E4265"/>
    <w:rsid w:val="005E45D7"/>
    <w:rsid w:val="005E48B4"/>
    <w:rsid w:val="005E48B6"/>
    <w:rsid w:val="005E4AFF"/>
    <w:rsid w:val="005E506B"/>
    <w:rsid w:val="005E50E6"/>
    <w:rsid w:val="005E5146"/>
    <w:rsid w:val="005E518C"/>
    <w:rsid w:val="005E51E2"/>
    <w:rsid w:val="005E53C6"/>
    <w:rsid w:val="005E550F"/>
    <w:rsid w:val="005E55FC"/>
    <w:rsid w:val="005E5749"/>
    <w:rsid w:val="005E591C"/>
    <w:rsid w:val="005E595D"/>
    <w:rsid w:val="005E597E"/>
    <w:rsid w:val="005E5A9E"/>
    <w:rsid w:val="005E5C22"/>
    <w:rsid w:val="005E5C2C"/>
    <w:rsid w:val="005E5DEE"/>
    <w:rsid w:val="005E5FD8"/>
    <w:rsid w:val="005E5FE2"/>
    <w:rsid w:val="005E631B"/>
    <w:rsid w:val="005E633B"/>
    <w:rsid w:val="005E6C8B"/>
    <w:rsid w:val="005E6CBD"/>
    <w:rsid w:val="005E6E82"/>
    <w:rsid w:val="005E6ECD"/>
    <w:rsid w:val="005E711D"/>
    <w:rsid w:val="005E743F"/>
    <w:rsid w:val="005E757C"/>
    <w:rsid w:val="005E7667"/>
    <w:rsid w:val="005E7705"/>
    <w:rsid w:val="005E7716"/>
    <w:rsid w:val="005E775E"/>
    <w:rsid w:val="005E7C23"/>
    <w:rsid w:val="005E7D83"/>
    <w:rsid w:val="005E7FFE"/>
    <w:rsid w:val="005F012A"/>
    <w:rsid w:val="005F01EE"/>
    <w:rsid w:val="005F051C"/>
    <w:rsid w:val="005F06DF"/>
    <w:rsid w:val="005F0707"/>
    <w:rsid w:val="005F0741"/>
    <w:rsid w:val="005F0768"/>
    <w:rsid w:val="005F0876"/>
    <w:rsid w:val="005F0A1E"/>
    <w:rsid w:val="005F0A2D"/>
    <w:rsid w:val="005F0A75"/>
    <w:rsid w:val="005F0B27"/>
    <w:rsid w:val="005F0B61"/>
    <w:rsid w:val="005F0CC5"/>
    <w:rsid w:val="005F0E0B"/>
    <w:rsid w:val="005F0E5B"/>
    <w:rsid w:val="005F0EB9"/>
    <w:rsid w:val="005F100B"/>
    <w:rsid w:val="005F13B2"/>
    <w:rsid w:val="005F145F"/>
    <w:rsid w:val="005F1900"/>
    <w:rsid w:val="005F1959"/>
    <w:rsid w:val="005F1A4E"/>
    <w:rsid w:val="005F1C2C"/>
    <w:rsid w:val="005F1C61"/>
    <w:rsid w:val="005F1C78"/>
    <w:rsid w:val="005F1DAF"/>
    <w:rsid w:val="005F1DED"/>
    <w:rsid w:val="005F21FB"/>
    <w:rsid w:val="005F2323"/>
    <w:rsid w:val="005F237C"/>
    <w:rsid w:val="005F24B3"/>
    <w:rsid w:val="005F28EB"/>
    <w:rsid w:val="005F2992"/>
    <w:rsid w:val="005F2D4D"/>
    <w:rsid w:val="005F2EB2"/>
    <w:rsid w:val="005F2FAF"/>
    <w:rsid w:val="005F31A0"/>
    <w:rsid w:val="005F3269"/>
    <w:rsid w:val="005F327C"/>
    <w:rsid w:val="005F33CC"/>
    <w:rsid w:val="005F3436"/>
    <w:rsid w:val="005F353E"/>
    <w:rsid w:val="005F3723"/>
    <w:rsid w:val="005F396E"/>
    <w:rsid w:val="005F3AF0"/>
    <w:rsid w:val="005F3BEE"/>
    <w:rsid w:val="005F3CA7"/>
    <w:rsid w:val="005F3DB0"/>
    <w:rsid w:val="005F3E0C"/>
    <w:rsid w:val="005F3E7A"/>
    <w:rsid w:val="005F3F1F"/>
    <w:rsid w:val="005F3FF4"/>
    <w:rsid w:val="005F4188"/>
    <w:rsid w:val="005F419B"/>
    <w:rsid w:val="005F419C"/>
    <w:rsid w:val="005F41B4"/>
    <w:rsid w:val="005F41D0"/>
    <w:rsid w:val="005F43F2"/>
    <w:rsid w:val="005F4731"/>
    <w:rsid w:val="005F4746"/>
    <w:rsid w:val="005F47A5"/>
    <w:rsid w:val="005F482C"/>
    <w:rsid w:val="005F4921"/>
    <w:rsid w:val="005F4B03"/>
    <w:rsid w:val="005F4BD4"/>
    <w:rsid w:val="005F4BF3"/>
    <w:rsid w:val="005F4D3E"/>
    <w:rsid w:val="005F4D45"/>
    <w:rsid w:val="005F4DB4"/>
    <w:rsid w:val="005F4E66"/>
    <w:rsid w:val="005F4EA5"/>
    <w:rsid w:val="005F4EED"/>
    <w:rsid w:val="005F4FDE"/>
    <w:rsid w:val="005F5137"/>
    <w:rsid w:val="005F54E9"/>
    <w:rsid w:val="005F553F"/>
    <w:rsid w:val="005F57AC"/>
    <w:rsid w:val="005F57BA"/>
    <w:rsid w:val="005F5C74"/>
    <w:rsid w:val="005F5E03"/>
    <w:rsid w:val="005F5E36"/>
    <w:rsid w:val="005F5E3B"/>
    <w:rsid w:val="005F5F0E"/>
    <w:rsid w:val="005F5F70"/>
    <w:rsid w:val="005F60BD"/>
    <w:rsid w:val="005F615C"/>
    <w:rsid w:val="005F639D"/>
    <w:rsid w:val="005F643E"/>
    <w:rsid w:val="005F6472"/>
    <w:rsid w:val="005F6621"/>
    <w:rsid w:val="005F674A"/>
    <w:rsid w:val="005F6B4F"/>
    <w:rsid w:val="005F6D36"/>
    <w:rsid w:val="005F6EE7"/>
    <w:rsid w:val="005F6F00"/>
    <w:rsid w:val="005F6F4C"/>
    <w:rsid w:val="005F7162"/>
    <w:rsid w:val="005F71CA"/>
    <w:rsid w:val="005F7243"/>
    <w:rsid w:val="005F735C"/>
    <w:rsid w:val="005F76A4"/>
    <w:rsid w:val="005F7704"/>
    <w:rsid w:val="005F774E"/>
    <w:rsid w:val="005F776D"/>
    <w:rsid w:val="005F77F0"/>
    <w:rsid w:val="005F7898"/>
    <w:rsid w:val="005F7958"/>
    <w:rsid w:val="005F7963"/>
    <w:rsid w:val="005F7B05"/>
    <w:rsid w:val="005F7D07"/>
    <w:rsid w:val="005F7D97"/>
    <w:rsid w:val="005F7DB5"/>
    <w:rsid w:val="005F7E92"/>
    <w:rsid w:val="005F7F86"/>
    <w:rsid w:val="0060003A"/>
    <w:rsid w:val="006000BC"/>
    <w:rsid w:val="00600306"/>
    <w:rsid w:val="00600587"/>
    <w:rsid w:val="006007A2"/>
    <w:rsid w:val="00600902"/>
    <w:rsid w:val="0060098F"/>
    <w:rsid w:val="00600A05"/>
    <w:rsid w:val="00600ABA"/>
    <w:rsid w:val="00600C6D"/>
    <w:rsid w:val="00600C89"/>
    <w:rsid w:val="00600D00"/>
    <w:rsid w:val="00600D56"/>
    <w:rsid w:val="00600F5C"/>
    <w:rsid w:val="00600F68"/>
    <w:rsid w:val="00601090"/>
    <w:rsid w:val="00601144"/>
    <w:rsid w:val="006011DB"/>
    <w:rsid w:val="006012B6"/>
    <w:rsid w:val="00601605"/>
    <w:rsid w:val="0060163C"/>
    <w:rsid w:val="00601756"/>
    <w:rsid w:val="00601DF1"/>
    <w:rsid w:val="00601E4B"/>
    <w:rsid w:val="006020B9"/>
    <w:rsid w:val="006020D6"/>
    <w:rsid w:val="00602179"/>
    <w:rsid w:val="006025D5"/>
    <w:rsid w:val="0060263C"/>
    <w:rsid w:val="006027A1"/>
    <w:rsid w:val="00602869"/>
    <w:rsid w:val="006028FB"/>
    <w:rsid w:val="00602921"/>
    <w:rsid w:val="0060295A"/>
    <w:rsid w:val="00602AE7"/>
    <w:rsid w:val="00602B4F"/>
    <w:rsid w:val="00602C09"/>
    <w:rsid w:val="00602C77"/>
    <w:rsid w:val="00602F46"/>
    <w:rsid w:val="00602FEE"/>
    <w:rsid w:val="0060304D"/>
    <w:rsid w:val="006032D5"/>
    <w:rsid w:val="006035D7"/>
    <w:rsid w:val="00603651"/>
    <w:rsid w:val="0060366E"/>
    <w:rsid w:val="006036CF"/>
    <w:rsid w:val="00603969"/>
    <w:rsid w:val="00603AAF"/>
    <w:rsid w:val="00603D53"/>
    <w:rsid w:val="00603D99"/>
    <w:rsid w:val="00603DB3"/>
    <w:rsid w:val="0060413A"/>
    <w:rsid w:val="0060418F"/>
    <w:rsid w:val="00604288"/>
    <w:rsid w:val="00604378"/>
    <w:rsid w:val="006047E9"/>
    <w:rsid w:val="006048F2"/>
    <w:rsid w:val="006048FF"/>
    <w:rsid w:val="00604AFC"/>
    <w:rsid w:val="00604C36"/>
    <w:rsid w:val="00604C60"/>
    <w:rsid w:val="00604FA8"/>
    <w:rsid w:val="00605054"/>
    <w:rsid w:val="0060515C"/>
    <w:rsid w:val="006051A6"/>
    <w:rsid w:val="00605257"/>
    <w:rsid w:val="006052EE"/>
    <w:rsid w:val="0060544D"/>
    <w:rsid w:val="00605638"/>
    <w:rsid w:val="00605693"/>
    <w:rsid w:val="006056EF"/>
    <w:rsid w:val="00605731"/>
    <w:rsid w:val="00605803"/>
    <w:rsid w:val="00605971"/>
    <w:rsid w:val="00605A0D"/>
    <w:rsid w:val="00605A4A"/>
    <w:rsid w:val="00605BFD"/>
    <w:rsid w:val="00605C59"/>
    <w:rsid w:val="00605C60"/>
    <w:rsid w:val="0060617C"/>
    <w:rsid w:val="0060619C"/>
    <w:rsid w:val="0060629B"/>
    <w:rsid w:val="00606423"/>
    <w:rsid w:val="0060682E"/>
    <w:rsid w:val="0060693D"/>
    <w:rsid w:val="006069ED"/>
    <w:rsid w:val="00606C23"/>
    <w:rsid w:val="00606C26"/>
    <w:rsid w:val="00606C3D"/>
    <w:rsid w:val="00606C96"/>
    <w:rsid w:val="00606E43"/>
    <w:rsid w:val="00606FC9"/>
    <w:rsid w:val="006071ED"/>
    <w:rsid w:val="00607280"/>
    <w:rsid w:val="006072A2"/>
    <w:rsid w:val="00607339"/>
    <w:rsid w:val="00607595"/>
    <w:rsid w:val="006076AC"/>
    <w:rsid w:val="00607786"/>
    <w:rsid w:val="006078FA"/>
    <w:rsid w:val="00607942"/>
    <w:rsid w:val="00607A14"/>
    <w:rsid w:val="00607D9F"/>
    <w:rsid w:val="00607E7C"/>
    <w:rsid w:val="00607E83"/>
    <w:rsid w:val="00607EE5"/>
    <w:rsid w:val="00610009"/>
    <w:rsid w:val="0061008F"/>
    <w:rsid w:val="006101B6"/>
    <w:rsid w:val="0061036B"/>
    <w:rsid w:val="0061086C"/>
    <w:rsid w:val="006108F2"/>
    <w:rsid w:val="00610D6A"/>
    <w:rsid w:val="00610E16"/>
    <w:rsid w:val="006110AD"/>
    <w:rsid w:val="00611148"/>
    <w:rsid w:val="0061130D"/>
    <w:rsid w:val="00611344"/>
    <w:rsid w:val="0061189F"/>
    <w:rsid w:val="0061199C"/>
    <w:rsid w:val="006119A4"/>
    <w:rsid w:val="00611A32"/>
    <w:rsid w:val="00611A77"/>
    <w:rsid w:val="00611DAB"/>
    <w:rsid w:val="00611EF5"/>
    <w:rsid w:val="00611F58"/>
    <w:rsid w:val="0061220E"/>
    <w:rsid w:val="00612289"/>
    <w:rsid w:val="006123EC"/>
    <w:rsid w:val="00612449"/>
    <w:rsid w:val="0061248C"/>
    <w:rsid w:val="0061250C"/>
    <w:rsid w:val="006127CF"/>
    <w:rsid w:val="00612849"/>
    <w:rsid w:val="00612AB1"/>
    <w:rsid w:val="00612AFD"/>
    <w:rsid w:val="00612B05"/>
    <w:rsid w:val="00612E6F"/>
    <w:rsid w:val="00612E7B"/>
    <w:rsid w:val="00613351"/>
    <w:rsid w:val="006135C6"/>
    <w:rsid w:val="006136AB"/>
    <w:rsid w:val="0061370D"/>
    <w:rsid w:val="00613916"/>
    <w:rsid w:val="0061398B"/>
    <w:rsid w:val="00613AAB"/>
    <w:rsid w:val="00613B3D"/>
    <w:rsid w:val="00613C58"/>
    <w:rsid w:val="00613DA4"/>
    <w:rsid w:val="00614041"/>
    <w:rsid w:val="00614238"/>
    <w:rsid w:val="006145FE"/>
    <w:rsid w:val="0061465A"/>
    <w:rsid w:val="00614943"/>
    <w:rsid w:val="00614D51"/>
    <w:rsid w:val="00615075"/>
    <w:rsid w:val="006150AE"/>
    <w:rsid w:val="00615854"/>
    <w:rsid w:val="00615872"/>
    <w:rsid w:val="0061597B"/>
    <w:rsid w:val="00615B96"/>
    <w:rsid w:val="00615BAD"/>
    <w:rsid w:val="00615D14"/>
    <w:rsid w:val="00615D9D"/>
    <w:rsid w:val="00615E4B"/>
    <w:rsid w:val="00615F21"/>
    <w:rsid w:val="00616048"/>
    <w:rsid w:val="00616162"/>
    <w:rsid w:val="006161C5"/>
    <w:rsid w:val="00616330"/>
    <w:rsid w:val="00616379"/>
    <w:rsid w:val="00616457"/>
    <w:rsid w:val="00616638"/>
    <w:rsid w:val="00616C91"/>
    <w:rsid w:val="00616DC3"/>
    <w:rsid w:val="00616DCE"/>
    <w:rsid w:val="00617034"/>
    <w:rsid w:val="00617180"/>
    <w:rsid w:val="00617461"/>
    <w:rsid w:val="00617484"/>
    <w:rsid w:val="00617849"/>
    <w:rsid w:val="00617ACB"/>
    <w:rsid w:val="00617BA8"/>
    <w:rsid w:val="00617CAC"/>
    <w:rsid w:val="00617DA3"/>
    <w:rsid w:val="00617E2F"/>
    <w:rsid w:val="00617E50"/>
    <w:rsid w:val="00617EE0"/>
    <w:rsid w:val="00617F3B"/>
    <w:rsid w:val="0062009A"/>
    <w:rsid w:val="006201EB"/>
    <w:rsid w:val="0062045D"/>
    <w:rsid w:val="006205B0"/>
    <w:rsid w:val="0062065C"/>
    <w:rsid w:val="00620849"/>
    <w:rsid w:val="00620975"/>
    <w:rsid w:val="006209D4"/>
    <w:rsid w:val="00620C21"/>
    <w:rsid w:val="00620C23"/>
    <w:rsid w:val="00620E8D"/>
    <w:rsid w:val="00620F02"/>
    <w:rsid w:val="006210E6"/>
    <w:rsid w:val="00621165"/>
    <w:rsid w:val="006213C6"/>
    <w:rsid w:val="006214A6"/>
    <w:rsid w:val="00621658"/>
    <w:rsid w:val="00621720"/>
    <w:rsid w:val="0062182D"/>
    <w:rsid w:val="00621973"/>
    <w:rsid w:val="00621D90"/>
    <w:rsid w:val="00622157"/>
    <w:rsid w:val="006221D9"/>
    <w:rsid w:val="0062223D"/>
    <w:rsid w:val="00622243"/>
    <w:rsid w:val="00622277"/>
    <w:rsid w:val="0062239B"/>
    <w:rsid w:val="00622525"/>
    <w:rsid w:val="006227B7"/>
    <w:rsid w:val="00622BA8"/>
    <w:rsid w:val="00622BB5"/>
    <w:rsid w:val="00622CCB"/>
    <w:rsid w:val="00622D7E"/>
    <w:rsid w:val="00622E1D"/>
    <w:rsid w:val="00622E91"/>
    <w:rsid w:val="00622F88"/>
    <w:rsid w:val="00623007"/>
    <w:rsid w:val="00623152"/>
    <w:rsid w:val="006232C4"/>
    <w:rsid w:val="00623382"/>
    <w:rsid w:val="0062347A"/>
    <w:rsid w:val="00623577"/>
    <w:rsid w:val="0062357F"/>
    <w:rsid w:val="006237A3"/>
    <w:rsid w:val="00623871"/>
    <w:rsid w:val="006238EB"/>
    <w:rsid w:val="0062393B"/>
    <w:rsid w:val="00623BC0"/>
    <w:rsid w:val="00624056"/>
    <w:rsid w:val="0062411D"/>
    <w:rsid w:val="00624178"/>
    <w:rsid w:val="00624278"/>
    <w:rsid w:val="00624376"/>
    <w:rsid w:val="006243E7"/>
    <w:rsid w:val="0062446C"/>
    <w:rsid w:val="00624495"/>
    <w:rsid w:val="00624610"/>
    <w:rsid w:val="006246EF"/>
    <w:rsid w:val="0062486E"/>
    <w:rsid w:val="00624902"/>
    <w:rsid w:val="00624BCA"/>
    <w:rsid w:val="00624CD5"/>
    <w:rsid w:val="00624FD8"/>
    <w:rsid w:val="00625149"/>
    <w:rsid w:val="0062548A"/>
    <w:rsid w:val="00625502"/>
    <w:rsid w:val="00625596"/>
    <w:rsid w:val="006255AE"/>
    <w:rsid w:val="00625722"/>
    <w:rsid w:val="0062581A"/>
    <w:rsid w:val="00625A06"/>
    <w:rsid w:val="00625A7B"/>
    <w:rsid w:val="00625BA9"/>
    <w:rsid w:val="00625CB4"/>
    <w:rsid w:val="00625DA7"/>
    <w:rsid w:val="00625DF9"/>
    <w:rsid w:val="00625E3F"/>
    <w:rsid w:val="00626178"/>
    <w:rsid w:val="00626340"/>
    <w:rsid w:val="006264BC"/>
    <w:rsid w:val="006264CE"/>
    <w:rsid w:val="006265CD"/>
    <w:rsid w:val="00626646"/>
    <w:rsid w:val="0062664F"/>
    <w:rsid w:val="006269C6"/>
    <w:rsid w:val="00626BD8"/>
    <w:rsid w:val="00626C53"/>
    <w:rsid w:val="00626D44"/>
    <w:rsid w:val="0062705F"/>
    <w:rsid w:val="006272E8"/>
    <w:rsid w:val="006274B6"/>
    <w:rsid w:val="006275D2"/>
    <w:rsid w:val="00627722"/>
    <w:rsid w:val="00627814"/>
    <w:rsid w:val="00627891"/>
    <w:rsid w:val="0062794B"/>
    <w:rsid w:val="006279D5"/>
    <w:rsid w:val="00627BDF"/>
    <w:rsid w:val="00627F85"/>
    <w:rsid w:val="006300F0"/>
    <w:rsid w:val="006304F6"/>
    <w:rsid w:val="0063052A"/>
    <w:rsid w:val="006306FB"/>
    <w:rsid w:val="00630750"/>
    <w:rsid w:val="00630A5B"/>
    <w:rsid w:val="00630D1E"/>
    <w:rsid w:val="00630EB3"/>
    <w:rsid w:val="00630F0C"/>
    <w:rsid w:val="0063106D"/>
    <w:rsid w:val="00631078"/>
    <w:rsid w:val="0063113C"/>
    <w:rsid w:val="00631958"/>
    <w:rsid w:val="00631C66"/>
    <w:rsid w:val="00631DBC"/>
    <w:rsid w:val="00631DCD"/>
    <w:rsid w:val="00632170"/>
    <w:rsid w:val="00632173"/>
    <w:rsid w:val="0063227F"/>
    <w:rsid w:val="006328A6"/>
    <w:rsid w:val="00632AC9"/>
    <w:rsid w:val="00632D33"/>
    <w:rsid w:val="00632D90"/>
    <w:rsid w:val="00632E62"/>
    <w:rsid w:val="00632F10"/>
    <w:rsid w:val="00632F1A"/>
    <w:rsid w:val="00633088"/>
    <w:rsid w:val="00633100"/>
    <w:rsid w:val="006331EF"/>
    <w:rsid w:val="0063358C"/>
    <w:rsid w:val="006335E4"/>
    <w:rsid w:val="00633736"/>
    <w:rsid w:val="006337EA"/>
    <w:rsid w:val="0063385F"/>
    <w:rsid w:val="0063391B"/>
    <w:rsid w:val="00633A40"/>
    <w:rsid w:val="00633AE8"/>
    <w:rsid w:val="00633C58"/>
    <w:rsid w:val="00633D66"/>
    <w:rsid w:val="006341F9"/>
    <w:rsid w:val="006344BE"/>
    <w:rsid w:val="0063452E"/>
    <w:rsid w:val="006346F4"/>
    <w:rsid w:val="00634816"/>
    <w:rsid w:val="00634A3A"/>
    <w:rsid w:val="00634D06"/>
    <w:rsid w:val="00634E8C"/>
    <w:rsid w:val="00634ED0"/>
    <w:rsid w:val="00635112"/>
    <w:rsid w:val="00635381"/>
    <w:rsid w:val="0063573A"/>
    <w:rsid w:val="0063593A"/>
    <w:rsid w:val="00635AEF"/>
    <w:rsid w:val="00635B06"/>
    <w:rsid w:val="00635B3B"/>
    <w:rsid w:val="00635B45"/>
    <w:rsid w:val="00635B76"/>
    <w:rsid w:val="00635BB0"/>
    <w:rsid w:val="00635CC6"/>
    <w:rsid w:val="00635DEB"/>
    <w:rsid w:val="00635EAD"/>
    <w:rsid w:val="00635F78"/>
    <w:rsid w:val="00636010"/>
    <w:rsid w:val="0063605F"/>
    <w:rsid w:val="0063624F"/>
    <w:rsid w:val="0063627B"/>
    <w:rsid w:val="00636324"/>
    <w:rsid w:val="00636419"/>
    <w:rsid w:val="006364D4"/>
    <w:rsid w:val="0063654A"/>
    <w:rsid w:val="00636641"/>
    <w:rsid w:val="00636666"/>
    <w:rsid w:val="006366CA"/>
    <w:rsid w:val="006367BF"/>
    <w:rsid w:val="006367D5"/>
    <w:rsid w:val="006369B6"/>
    <w:rsid w:val="00636BCF"/>
    <w:rsid w:val="00636E33"/>
    <w:rsid w:val="006370B1"/>
    <w:rsid w:val="0063733D"/>
    <w:rsid w:val="0063739E"/>
    <w:rsid w:val="006374B7"/>
    <w:rsid w:val="006374F5"/>
    <w:rsid w:val="006375F3"/>
    <w:rsid w:val="006376D2"/>
    <w:rsid w:val="0063788D"/>
    <w:rsid w:val="00637C37"/>
    <w:rsid w:val="00637CF8"/>
    <w:rsid w:val="00637D03"/>
    <w:rsid w:val="00637DD8"/>
    <w:rsid w:val="00637EF6"/>
    <w:rsid w:val="00637FDF"/>
    <w:rsid w:val="00640021"/>
    <w:rsid w:val="006401A0"/>
    <w:rsid w:val="006403EE"/>
    <w:rsid w:val="006407A1"/>
    <w:rsid w:val="006407D0"/>
    <w:rsid w:val="00640841"/>
    <w:rsid w:val="00640E77"/>
    <w:rsid w:val="00640F64"/>
    <w:rsid w:val="00640F7D"/>
    <w:rsid w:val="0064118C"/>
    <w:rsid w:val="00641190"/>
    <w:rsid w:val="00641346"/>
    <w:rsid w:val="00641762"/>
    <w:rsid w:val="0064178C"/>
    <w:rsid w:val="00641B99"/>
    <w:rsid w:val="00641E8B"/>
    <w:rsid w:val="00641F01"/>
    <w:rsid w:val="00642025"/>
    <w:rsid w:val="00642057"/>
    <w:rsid w:val="0064234E"/>
    <w:rsid w:val="006425B4"/>
    <w:rsid w:val="006425D0"/>
    <w:rsid w:val="006425E6"/>
    <w:rsid w:val="006426C4"/>
    <w:rsid w:val="006427F6"/>
    <w:rsid w:val="00642C87"/>
    <w:rsid w:val="00642D8A"/>
    <w:rsid w:val="00642E2D"/>
    <w:rsid w:val="00642F68"/>
    <w:rsid w:val="00643000"/>
    <w:rsid w:val="006430DF"/>
    <w:rsid w:val="00643210"/>
    <w:rsid w:val="00643279"/>
    <w:rsid w:val="006433E9"/>
    <w:rsid w:val="006433F0"/>
    <w:rsid w:val="00643427"/>
    <w:rsid w:val="00643429"/>
    <w:rsid w:val="006435FB"/>
    <w:rsid w:val="0064387D"/>
    <w:rsid w:val="006439BB"/>
    <w:rsid w:val="00643A70"/>
    <w:rsid w:val="00643AF6"/>
    <w:rsid w:val="00643BAE"/>
    <w:rsid w:val="00643BB5"/>
    <w:rsid w:val="00643F0C"/>
    <w:rsid w:val="006443C5"/>
    <w:rsid w:val="006443F2"/>
    <w:rsid w:val="0064441D"/>
    <w:rsid w:val="0064487C"/>
    <w:rsid w:val="0064490B"/>
    <w:rsid w:val="00644959"/>
    <w:rsid w:val="00644BC1"/>
    <w:rsid w:val="00644C0B"/>
    <w:rsid w:val="00644C8A"/>
    <w:rsid w:val="00644FCC"/>
    <w:rsid w:val="0064502F"/>
    <w:rsid w:val="0064505A"/>
    <w:rsid w:val="006453B8"/>
    <w:rsid w:val="00645771"/>
    <w:rsid w:val="00645810"/>
    <w:rsid w:val="00645A31"/>
    <w:rsid w:val="00645EFF"/>
    <w:rsid w:val="00646193"/>
    <w:rsid w:val="006463C7"/>
    <w:rsid w:val="006466D3"/>
    <w:rsid w:val="00646751"/>
    <w:rsid w:val="006469DF"/>
    <w:rsid w:val="00646BA5"/>
    <w:rsid w:val="00646C90"/>
    <w:rsid w:val="00646ED3"/>
    <w:rsid w:val="00647114"/>
    <w:rsid w:val="0064715A"/>
    <w:rsid w:val="006472A5"/>
    <w:rsid w:val="006472AE"/>
    <w:rsid w:val="006475D0"/>
    <w:rsid w:val="00647A8C"/>
    <w:rsid w:val="00647C37"/>
    <w:rsid w:val="00647CA4"/>
    <w:rsid w:val="006501DE"/>
    <w:rsid w:val="006502E1"/>
    <w:rsid w:val="0065040F"/>
    <w:rsid w:val="0065048E"/>
    <w:rsid w:val="0065051D"/>
    <w:rsid w:val="006505CA"/>
    <w:rsid w:val="00650894"/>
    <w:rsid w:val="00650B6E"/>
    <w:rsid w:val="00650D81"/>
    <w:rsid w:val="00650F20"/>
    <w:rsid w:val="0065118B"/>
    <w:rsid w:val="006512A3"/>
    <w:rsid w:val="0065139F"/>
    <w:rsid w:val="00651651"/>
    <w:rsid w:val="00651661"/>
    <w:rsid w:val="00651993"/>
    <w:rsid w:val="00651A26"/>
    <w:rsid w:val="00651AFC"/>
    <w:rsid w:val="00651B64"/>
    <w:rsid w:val="00651DD4"/>
    <w:rsid w:val="00651FA2"/>
    <w:rsid w:val="00651FFB"/>
    <w:rsid w:val="00652094"/>
    <w:rsid w:val="006523A6"/>
    <w:rsid w:val="0065265C"/>
    <w:rsid w:val="0065266E"/>
    <w:rsid w:val="00652704"/>
    <w:rsid w:val="006529B2"/>
    <w:rsid w:val="00652BA6"/>
    <w:rsid w:val="00652D9B"/>
    <w:rsid w:val="00652DB9"/>
    <w:rsid w:val="00652E12"/>
    <w:rsid w:val="00652F02"/>
    <w:rsid w:val="00652F94"/>
    <w:rsid w:val="00653093"/>
    <w:rsid w:val="006530A9"/>
    <w:rsid w:val="00653187"/>
    <w:rsid w:val="006533C9"/>
    <w:rsid w:val="006533F9"/>
    <w:rsid w:val="00653529"/>
    <w:rsid w:val="006538BD"/>
    <w:rsid w:val="00653A94"/>
    <w:rsid w:val="00653AF5"/>
    <w:rsid w:val="00653D8D"/>
    <w:rsid w:val="00653DB2"/>
    <w:rsid w:val="00653F09"/>
    <w:rsid w:val="00654033"/>
    <w:rsid w:val="00654196"/>
    <w:rsid w:val="006544B8"/>
    <w:rsid w:val="006545E7"/>
    <w:rsid w:val="006548DD"/>
    <w:rsid w:val="006548E2"/>
    <w:rsid w:val="006548ED"/>
    <w:rsid w:val="00654B24"/>
    <w:rsid w:val="00654CA0"/>
    <w:rsid w:val="0065537F"/>
    <w:rsid w:val="00655591"/>
    <w:rsid w:val="006555F5"/>
    <w:rsid w:val="0065561B"/>
    <w:rsid w:val="00655627"/>
    <w:rsid w:val="00655657"/>
    <w:rsid w:val="0065580C"/>
    <w:rsid w:val="00655945"/>
    <w:rsid w:val="00655A5F"/>
    <w:rsid w:val="00655A69"/>
    <w:rsid w:val="00655B5D"/>
    <w:rsid w:val="00655BEE"/>
    <w:rsid w:val="00655C57"/>
    <w:rsid w:val="00655CA6"/>
    <w:rsid w:val="00655D68"/>
    <w:rsid w:val="00655F29"/>
    <w:rsid w:val="00656009"/>
    <w:rsid w:val="0065600F"/>
    <w:rsid w:val="00656157"/>
    <w:rsid w:val="00656241"/>
    <w:rsid w:val="00656427"/>
    <w:rsid w:val="00656638"/>
    <w:rsid w:val="006568E0"/>
    <w:rsid w:val="00656A88"/>
    <w:rsid w:val="00656DE4"/>
    <w:rsid w:val="00656ECA"/>
    <w:rsid w:val="00656ED9"/>
    <w:rsid w:val="0065716B"/>
    <w:rsid w:val="00657196"/>
    <w:rsid w:val="006571CF"/>
    <w:rsid w:val="00657300"/>
    <w:rsid w:val="00657373"/>
    <w:rsid w:val="0065746A"/>
    <w:rsid w:val="00657559"/>
    <w:rsid w:val="00657611"/>
    <w:rsid w:val="00657627"/>
    <w:rsid w:val="00657767"/>
    <w:rsid w:val="00657935"/>
    <w:rsid w:val="00657A04"/>
    <w:rsid w:val="00657B46"/>
    <w:rsid w:val="00657D40"/>
    <w:rsid w:val="00657DF3"/>
    <w:rsid w:val="00657E75"/>
    <w:rsid w:val="00657FFA"/>
    <w:rsid w:val="006600CC"/>
    <w:rsid w:val="00660153"/>
    <w:rsid w:val="0066083B"/>
    <w:rsid w:val="0066093E"/>
    <w:rsid w:val="00660AE9"/>
    <w:rsid w:val="00660DD1"/>
    <w:rsid w:val="00660EAD"/>
    <w:rsid w:val="00660F5D"/>
    <w:rsid w:val="00660F7D"/>
    <w:rsid w:val="00661041"/>
    <w:rsid w:val="0066118A"/>
    <w:rsid w:val="006611D5"/>
    <w:rsid w:val="00661337"/>
    <w:rsid w:val="006613C8"/>
    <w:rsid w:val="006613CE"/>
    <w:rsid w:val="00661986"/>
    <w:rsid w:val="00661BEA"/>
    <w:rsid w:val="00661D86"/>
    <w:rsid w:val="00661F08"/>
    <w:rsid w:val="00661F1F"/>
    <w:rsid w:val="00661F9C"/>
    <w:rsid w:val="00662017"/>
    <w:rsid w:val="00662065"/>
    <w:rsid w:val="0066219D"/>
    <w:rsid w:val="006621D9"/>
    <w:rsid w:val="0066220E"/>
    <w:rsid w:val="00662249"/>
    <w:rsid w:val="00662421"/>
    <w:rsid w:val="006627FB"/>
    <w:rsid w:val="0066289A"/>
    <w:rsid w:val="00662B38"/>
    <w:rsid w:val="00662D49"/>
    <w:rsid w:val="00662E8B"/>
    <w:rsid w:val="00663229"/>
    <w:rsid w:val="00663230"/>
    <w:rsid w:val="006635F4"/>
    <w:rsid w:val="0066398B"/>
    <w:rsid w:val="00663AAB"/>
    <w:rsid w:val="00663AD5"/>
    <w:rsid w:val="00663B0E"/>
    <w:rsid w:val="00663B3C"/>
    <w:rsid w:val="00663BFD"/>
    <w:rsid w:val="00663C3F"/>
    <w:rsid w:val="00663D41"/>
    <w:rsid w:val="00663FD3"/>
    <w:rsid w:val="0066404E"/>
    <w:rsid w:val="006640C3"/>
    <w:rsid w:val="0066420B"/>
    <w:rsid w:val="0066425E"/>
    <w:rsid w:val="006643A9"/>
    <w:rsid w:val="006645E0"/>
    <w:rsid w:val="00664872"/>
    <w:rsid w:val="006648D5"/>
    <w:rsid w:val="00664B3B"/>
    <w:rsid w:val="00664C4F"/>
    <w:rsid w:val="00664C6F"/>
    <w:rsid w:val="00664D6C"/>
    <w:rsid w:val="00664E23"/>
    <w:rsid w:val="00664E7B"/>
    <w:rsid w:val="0066504E"/>
    <w:rsid w:val="006652D9"/>
    <w:rsid w:val="0066545B"/>
    <w:rsid w:val="00665594"/>
    <w:rsid w:val="0066564F"/>
    <w:rsid w:val="0066594B"/>
    <w:rsid w:val="006659AC"/>
    <w:rsid w:val="00665B55"/>
    <w:rsid w:val="00665C10"/>
    <w:rsid w:val="00665C68"/>
    <w:rsid w:val="00665C79"/>
    <w:rsid w:val="00665F1D"/>
    <w:rsid w:val="006660D4"/>
    <w:rsid w:val="006661DF"/>
    <w:rsid w:val="00666303"/>
    <w:rsid w:val="0066637D"/>
    <w:rsid w:val="006664D7"/>
    <w:rsid w:val="0066666E"/>
    <w:rsid w:val="00666F3B"/>
    <w:rsid w:val="006670A5"/>
    <w:rsid w:val="00667249"/>
    <w:rsid w:val="0066737E"/>
    <w:rsid w:val="00667388"/>
    <w:rsid w:val="00667687"/>
    <w:rsid w:val="006677DB"/>
    <w:rsid w:val="006679B9"/>
    <w:rsid w:val="00667AC0"/>
    <w:rsid w:val="00667CE6"/>
    <w:rsid w:val="00667DC0"/>
    <w:rsid w:val="00667E60"/>
    <w:rsid w:val="00667E98"/>
    <w:rsid w:val="00667F8E"/>
    <w:rsid w:val="00667FEF"/>
    <w:rsid w:val="00670335"/>
    <w:rsid w:val="00670496"/>
    <w:rsid w:val="0067050F"/>
    <w:rsid w:val="006707FF"/>
    <w:rsid w:val="00670983"/>
    <w:rsid w:val="00670A70"/>
    <w:rsid w:val="00670C2A"/>
    <w:rsid w:val="00670D37"/>
    <w:rsid w:val="00670EF1"/>
    <w:rsid w:val="00670F10"/>
    <w:rsid w:val="00670F97"/>
    <w:rsid w:val="006710AC"/>
    <w:rsid w:val="00671586"/>
    <w:rsid w:val="00671612"/>
    <w:rsid w:val="006716C5"/>
    <w:rsid w:val="0067171B"/>
    <w:rsid w:val="0067189C"/>
    <w:rsid w:val="006718E9"/>
    <w:rsid w:val="00671B89"/>
    <w:rsid w:val="00671E1D"/>
    <w:rsid w:val="00671E4B"/>
    <w:rsid w:val="00671E56"/>
    <w:rsid w:val="00671E77"/>
    <w:rsid w:val="00671F36"/>
    <w:rsid w:val="00671F61"/>
    <w:rsid w:val="006721B0"/>
    <w:rsid w:val="00672272"/>
    <w:rsid w:val="00672466"/>
    <w:rsid w:val="006726C0"/>
    <w:rsid w:val="006726DE"/>
    <w:rsid w:val="0067289E"/>
    <w:rsid w:val="00672B26"/>
    <w:rsid w:val="0067300E"/>
    <w:rsid w:val="006730A5"/>
    <w:rsid w:val="006730FB"/>
    <w:rsid w:val="00673313"/>
    <w:rsid w:val="0067340D"/>
    <w:rsid w:val="00673448"/>
    <w:rsid w:val="00673687"/>
    <w:rsid w:val="00673759"/>
    <w:rsid w:val="00673958"/>
    <w:rsid w:val="006739C2"/>
    <w:rsid w:val="006739D3"/>
    <w:rsid w:val="006739F1"/>
    <w:rsid w:val="00673B73"/>
    <w:rsid w:val="00673C76"/>
    <w:rsid w:val="00673CBA"/>
    <w:rsid w:val="00673CD6"/>
    <w:rsid w:val="00673FD4"/>
    <w:rsid w:val="006741A1"/>
    <w:rsid w:val="006741E0"/>
    <w:rsid w:val="00674241"/>
    <w:rsid w:val="00674358"/>
    <w:rsid w:val="006748A2"/>
    <w:rsid w:val="00674D4F"/>
    <w:rsid w:val="00674E69"/>
    <w:rsid w:val="00674E71"/>
    <w:rsid w:val="0067503F"/>
    <w:rsid w:val="00675150"/>
    <w:rsid w:val="006751F4"/>
    <w:rsid w:val="00675289"/>
    <w:rsid w:val="006752F7"/>
    <w:rsid w:val="00675357"/>
    <w:rsid w:val="00675470"/>
    <w:rsid w:val="006755BF"/>
    <w:rsid w:val="00675748"/>
    <w:rsid w:val="006757F0"/>
    <w:rsid w:val="006758BC"/>
    <w:rsid w:val="00675F94"/>
    <w:rsid w:val="00675F97"/>
    <w:rsid w:val="00675F9D"/>
    <w:rsid w:val="0067609A"/>
    <w:rsid w:val="00676123"/>
    <w:rsid w:val="00676174"/>
    <w:rsid w:val="00676178"/>
    <w:rsid w:val="00676530"/>
    <w:rsid w:val="006766FE"/>
    <w:rsid w:val="006768DF"/>
    <w:rsid w:val="00676A22"/>
    <w:rsid w:val="0067702B"/>
    <w:rsid w:val="0067708D"/>
    <w:rsid w:val="00677380"/>
    <w:rsid w:val="006773FA"/>
    <w:rsid w:val="006774A7"/>
    <w:rsid w:val="006774D5"/>
    <w:rsid w:val="00677514"/>
    <w:rsid w:val="006775C2"/>
    <w:rsid w:val="0067760B"/>
    <w:rsid w:val="0067767F"/>
    <w:rsid w:val="006776E3"/>
    <w:rsid w:val="0067792F"/>
    <w:rsid w:val="00677A0A"/>
    <w:rsid w:val="00677BA8"/>
    <w:rsid w:val="00677CB3"/>
    <w:rsid w:val="00677CF2"/>
    <w:rsid w:val="00677DA3"/>
    <w:rsid w:val="00677EC1"/>
    <w:rsid w:val="00680019"/>
    <w:rsid w:val="00680155"/>
    <w:rsid w:val="006801E2"/>
    <w:rsid w:val="00680233"/>
    <w:rsid w:val="006802CB"/>
    <w:rsid w:val="006802DC"/>
    <w:rsid w:val="00680328"/>
    <w:rsid w:val="00680495"/>
    <w:rsid w:val="006806F6"/>
    <w:rsid w:val="00680797"/>
    <w:rsid w:val="006807F2"/>
    <w:rsid w:val="0068084B"/>
    <w:rsid w:val="00680914"/>
    <w:rsid w:val="0068095C"/>
    <w:rsid w:val="006809AD"/>
    <w:rsid w:val="00680B1E"/>
    <w:rsid w:val="00680C84"/>
    <w:rsid w:val="00680DD7"/>
    <w:rsid w:val="00680F45"/>
    <w:rsid w:val="00680F46"/>
    <w:rsid w:val="006813BC"/>
    <w:rsid w:val="006815B0"/>
    <w:rsid w:val="00681615"/>
    <w:rsid w:val="0068167B"/>
    <w:rsid w:val="006818AA"/>
    <w:rsid w:val="00681B7C"/>
    <w:rsid w:val="00681C5F"/>
    <w:rsid w:val="00681D80"/>
    <w:rsid w:val="006820B3"/>
    <w:rsid w:val="0068252F"/>
    <w:rsid w:val="00682622"/>
    <w:rsid w:val="00682AC7"/>
    <w:rsid w:val="00682C3C"/>
    <w:rsid w:val="00682CDF"/>
    <w:rsid w:val="00683038"/>
    <w:rsid w:val="0068308F"/>
    <w:rsid w:val="0068328C"/>
    <w:rsid w:val="0068366C"/>
    <w:rsid w:val="0068367F"/>
    <w:rsid w:val="00683685"/>
    <w:rsid w:val="006836F8"/>
    <w:rsid w:val="00683778"/>
    <w:rsid w:val="00683C05"/>
    <w:rsid w:val="00683C2F"/>
    <w:rsid w:val="00683C89"/>
    <w:rsid w:val="00683FE9"/>
    <w:rsid w:val="00684194"/>
    <w:rsid w:val="006841EE"/>
    <w:rsid w:val="006842A0"/>
    <w:rsid w:val="0068432B"/>
    <w:rsid w:val="006844D2"/>
    <w:rsid w:val="006844F6"/>
    <w:rsid w:val="00684542"/>
    <w:rsid w:val="0068464C"/>
    <w:rsid w:val="006847F5"/>
    <w:rsid w:val="00684862"/>
    <w:rsid w:val="00684869"/>
    <w:rsid w:val="006849ED"/>
    <w:rsid w:val="00684A5B"/>
    <w:rsid w:val="00684D2E"/>
    <w:rsid w:val="00684E00"/>
    <w:rsid w:val="00684E6B"/>
    <w:rsid w:val="00684EDC"/>
    <w:rsid w:val="006852E2"/>
    <w:rsid w:val="0068569A"/>
    <w:rsid w:val="006856C4"/>
    <w:rsid w:val="006856F7"/>
    <w:rsid w:val="006858A1"/>
    <w:rsid w:val="00685A0D"/>
    <w:rsid w:val="00685D16"/>
    <w:rsid w:val="00686052"/>
    <w:rsid w:val="006860E8"/>
    <w:rsid w:val="0068634B"/>
    <w:rsid w:val="00686391"/>
    <w:rsid w:val="006863DE"/>
    <w:rsid w:val="00686415"/>
    <w:rsid w:val="00686482"/>
    <w:rsid w:val="006865E4"/>
    <w:rsid w:val="00686AC4"/>
    <w:rsid w:val="00686EFC"/>
    <w:rsid w:val="00686F01"/>
    <w:rsid w:val="006871F4"/>
    <w:rsid w:val="006873FC"/>
    <w:rsid w:val="00687634"/>
    <w:rsid w:val="0068776B"/>
    <w:rsid w:val="00687834"/>
    <w:rsid w:val="006879B8"/>
    <w:rsid w:val="006879C0"/>
    <w:rsid w:val="00687E18"/>
    <w:rsid w:val="00687EAE"/>
    <w:rsid w:val="00687F00"/>
    <w:rsid w:val="00690061"/>
    <w:rsid w:val="0069031B"/>
    <w:rsid w:val="00690477"/>
    <w:rsid w:val="00690576"/>
    <w:rsid w:val="00690592"/>
    <w:rsid w:val="006905C3"/>
    <w:rsid w:val="006905C7"/>
    <w:rsid w:val="00690668"/>
    <w:rsid w:val="006908B5"/>
    <w:rsid w:val="0069095A"/>
    <w:rsid w:val="00690986"/>
    <w:rsid w:val="006909E9"/>
    <w:rsid w:val="00690A36"/>
    <w:rsid w:val="00690CED"/>
    <w:rsid w:val="00690D59"/>
    <w:rsid w:val="00690DC7"/>
    <w:rsid w:val="00690E84"/>
    <w:rsid w:val="00690F44"/>
    <w:rsid w:val="00690FE5"/>
    <w:rsid w:val="00691211"/>
    <w:rsid w:val="0069122B"/>
    <w:rsid w:val="0069132C"/>
    <w:rsid w:val="006916FA"/>
    <w:rsid w:val="006917A9"/>
    <w:rsid w:val="006917B4"/>
    <w:rsid w:val="006917E0"/>
    <w:rsid w:val="00691876"/>
    <w:rsid w:val="00691D49"/>
    <w:rsid w:val="00691F08"/>
    <w:rsid w:val="006920C7"/>
    <w:rsid w:val="00692144"/>
    <w:rsid w:val="00692241"/>
    <w:rsid w:val="00692250"/>
    <w:rsid w:val="006922D2"/>
    <w:rsid w:val="0069239C"/>
    <w:rsid w:val="00692760"/>
    <w:rsid w:val="0069277C"/>
    <w:rsid w:val="006927C1"/>
    <w:rsid w:val="00692A18"/>
    <w:rsid w:val="00692EFF"/>
    <w:rsid w:val="006930D6"/>
    <w:rsid w:val="006930DD"/>
    <w:rsid w:val="00693438"/>
    <w:rsid w:val="00693645"/>
    <w:rsid w:val="006936EF"/>
    <w:rsid w:val="006936F4"/>
    <w:rsid w:val="00693AD4"/>
    <w:rsid w:val="00693B6E"/>
    <w:rsid w:val="00693C0C"/>
    <w:rsid w:val="00693D31"/>
    <w:rsid w:val="00693D3C"/>
    <w:rsid w:val="00693D49"/>
    <w:rsid w:val="00693D56"/>
    <w:rsid w:val="00693E45"/>
    <w:rsid w:val="00693F8C"/>
    <w:rsid w:val="00693FCE"/>
    <w:rsid w:val="00694256"/>
    <w:rsid w:val="00694310"/>
    <w:rsid w:val="006945A8"/>
    <w:rsid w:val="006945E1"/>
    <w:rsid w:val="006945F7"/>
    <w:rsid w:val="006946F8"/>
    <w:rsid w:val="006948DF"/>
    <w:rsid w:val="00694AB2"/>
    <w:rsid w:val="00694C22"/>
    <w:rsid w:val="00694C81"/>
    <w:rsid w:val="00694DA8"/>
    <w:rsid w:val="00694ED4"/>
    <w:rsid w:val="00694ED7"/>
    <w:rsid w:val="00694F97"/>
    <w:rsid w:val="00695150"/>
    <w:rsid w:val="006952DA"/>
    <w:rsid w:val="006954DB"/>
    <w:rsid w:val="00695561"/>
    <w:rsid w:val="00695866"/>
    <w:rsid w:val="0069594D"/>
    <w:rsid w:val="006959B6"/>
    <w:rsid w:val="00695C0D"/>
    <w:rsid w:val="00695C8A"/>
    <w:rsid w:val="00695FA1"/>
    <w:rsid w:val="00695FE0"/>
    <w:rsid w:val="00696082"/>
    <w:rsid w:val="006961C9"/>
    <w:rsid w:val="006965F0"/>
    <w:rsid w:val="006965F7"/>
    <w:rsid w:val="00696A13"/>
    <w:rsid w:val="00696C2B"/>
    <w:rsid w:val="00696C5B"/>
    <w:rsid w:val="00696C8F"/>
    <w:rsid w:val="00696CDB"/>
    <w:rsid w:val="00696D87"/>
    <w:rsid w:val="00696DFD"/>
    <w:rsid w:val="006972D9"/>
    <w:rsid w:val="00697414"/>
    <w:rsid w:val="006975E5"/>
    <w:rsid w:val="006976E6"/>
    <w:rsid w:val="006977B3"/>
    <w:rsid w:val="006977B7"/>
    <w:rsid w:val="006977E9"/>
    <w:rsid w:val="006979B5"/>
    <w:rsid w:val="00697B4C"/>
    <w:rsid w:val="00697E0F"/>
    <w:rsid w:val="00697EFD"/>
    <w:rsid w:val="006A019A"/>
    <w:rsid w:val="006A02EF"/>
    <w:rsid w:val="006A078F"/>
    <w:rsid w:val="006A07B9"/>
    <w:rsid w:val="006A0818"/>
    <w:rsid w:val="006A0822"/>
    <w:rsid w:val="006A082E"/>
    <w:rsid w:val="006A08D9"/>
    <w:rsid w:val="006A0CA0"/>
    <w:rsid w:val="006A0E17"/>
    <w:rsid w:val="006A0EE4"/>
    <w:rsid w:val="006A0F62"/>
    <w:rsid w:val="006A14F7"/>
    <w:rsid w:val="006A1683"/>
    <w:rsid w:val="006A16A3"/>
    <w:rsid w:val="006A17D2"/>
    <w:rsid w:val="006A1BFF"/>
    <w:rsid w:val="006A1EDB"/>
    <w:rsid w:val="006A1F7E"/>
    <w:rsid w:val="006A1FC9"/>
    <w:rsid w:val="006A2056"/>
    <w:rsid w:val="006A2162"/>
    <w:rsid w:val="006A21BF"/>
    <w:rsid w:val="006A2280"/>
    <w:rsid w:val="006A239A"/>
    <w:rsid w:val="006A26A0"/>
    <w:rsid w:val="006A289C"/>
    <w:rsid w:val="006A2A33"/>
    <w:rsid w:val="006A2DC7"/>
    <w:rsid w:val="006A2E18"/>
    <w:rsid w:val="006A3359"/>
    <w:rsid w:val="006A3542"/>
    <w:rsid w:val="006A3737"/>
    <w:rsid w:val="006A389F"/>
    <w:rsid w:val="006A3945"/>
    <w:rsid w:val="006A39BF"/>
    <w:rsid w:val="006A39D3"/>
    <w:rsid w:val="006A3C34"/>
    <w:rsid w:val="006A3EE0"/>
    <w:rsid w:val="006A46CC"/>
    <w:rsid w:val="006A4835"/>
    <w:rsid w:val="006A49EE"/>
    <w:rsid w:val="006A4A41"/>
    <w:rsid w:val="006A4B52"/>
    <w:rsid w:val="006A4C33"/>
    <w:rsid w:val="006A4C3E"/>
    <w:rsid w:val="006A505C"/>
    <w:rsid w:val="006A5350"/>
    <w:rsid w:val="006A5359"/>
    <w:rsid w:val="006A5407"/>
    <w:rsid w:val="006A5481"/>
    <w:rsid w:val="006A5632"/>
    <w:rsid w:val="006A592E"/>
    <w:rsid w:val="006A5DB4"/>
    <w:rsid w:val="006A5E2D"/>
    <w:rsid w:val="006A6086"/>
    <w:rsid w:val="006A608E"/>
    <w:rsid w:val="006A60B9"/>
    <w:rsid w:val="006A6338"/>
    <w:rsid w:val="006A63AA"/>
    <w:rsid w:val="006A63C1"/>
    <w:rsid w:val="006A64DD"/>
    <w:rsid w:val="006A653E"/>
    <w:rsid w:val="006A666F"/>
    <w:rsid w:val="006A6844"/>
    <w:rsid w:val="006A68E3"/>
    <w:rsid w:val="006A6BE6"/>
    <w:rsid w:val="006A6BF5"/>
    <w:rsid w:val="006A6C3C"/>
    <w:rsid w:val="006A6DBA"/>
    <w:rsid w:val="006A72B4"/>
    <w:rsid w:val="006A7822"/>
    <w:rsid w:val="006A792F"/>
    <w:rsid w:val="006A7CF4"/>
    <w:rsid w:val="006A7D08"/>
    <w:rsid w:val="006A7DEB"/>
    <w:rsid w:val="006A7FD9"/>
    <w:rsid w:val="006B0223"/>
    <w:rsid w:val="006B0408"/>
    <w:rsid w:val="006B04DF"/>
    <w:rsid w:val="006B04FA"/>
    <w:rsid w:val="006B0675"/>
    <w:rsid w:val="006B0745"/>
    <w:rsid w:val="006B07A7"/>
    <w:rsid w:val="006B089E"/>
    <w:rsid w:val="006B0ACD"/>
    <w:rsid w:val="006B0B38"/>
    <w:rsid w:val="006B0E45"/>
    <w:rsid w:val="006B109C"/>
    <w:rsid w:val="006B1490"/>
    <w:rsid w:val="006B199C"/>
    <w:rsid w:val="006B1BC2"/>
    <w:rsid w:val="006B1C25"/>
    <w:rsid w:val="006B1E6D"/>
    <w:rsid w:val="006B1FC1"/>
    <w:rsid w:val="006B2216"/>
    <w:rsid w:val="006B248D"/>
    <w:rsid w:val="006B2504"/>
    <w:rsid w:val="006B280A"/>
    <w:rsid w:val="006B294E"/>
    <w:rsid w:val="006B2976"/>
    <w:rsid w:val="006B2B4A"/>
    <w:rsid w:val="006B2C4E"/>
    <w:rsid w:val="006B2F56"/>
    <w:rsid w:val="006B3197"/>
    <w:rsid w:val="006B3865"/>
    <w:rsid w:val="006B38C3"/>
    <w:rsid w:val="006B3B2B"/>
    <w:rsid w:val="006B3C6D"/>
    <w:rsid w:val="006B3EC0"/>
    <w:rsid w:val="006B3EC2"/>
    <w:rsid w:val="006B4160"/>
    <w:rsid w:val="006B4201"/>
    <w:rsid w:val="006B42C4"/>
    <w:rsid w:val="006B42F7"/>
    <w:rsid w:val="006B45B0"/>
    <w:rsid w:val="006B45E5"/>
    <w:rsid w:val="006B45EE"/>
    <w:rsid w:val="006B47B3"/>
    <w:rsid w:val="006B493E"/>
    <w:rsid w:val="006B49AA"/>
    <w:rsid w:val="006B4A7B"/>
    <w:rsid w:val="006B4D3F"/>
    <w:rsid w:val="006B4E6A"/>
    <w:rsid w:val="006B5040"/>
    <w:rsid w:val="006B5273"/>
    <w:rsid w:val="006B5321"/>
    <w:rsid w:val="006B5667"/>
    <w:rsid w:val="006B58F4"/>
    <w:rsid w:val="006B59CF"/>
    <w:rsid w:val="006B5A17"/>
    <w:rsid w:val="006B5C95"/>
    <w:rsid w:val="006B5D71"/>
    <w:rsid w:val="006B5DDE"/>
    <w:rsid w:val="006B6017"/>
    <w:rsid w:val="006B62FF"/>
    <w:rsid w:val="006B655B"/>
    <w:rsid w:val="006B69A2"/>
    <w:rsid w:val="006B6A02"/>
    <w:rsid w:val="006B6A37"/>
    <w:rsid w:val="006B6B96"/>
    <w:rsid w:val="006B6C85"/>
    <w:rsid w:val="006B6DFE"/>
    <w:rsid w:val="006B7142"/>
    <w:rsid w:val="006B742B"/>
    <w:rsid w:val="006B74D5"/>
    <w:rsid w:val="006B79E1"/>
    <w:rsid w:val="006B7AAC"/>
    <w:rsid w:val="006B7CB9"/>
    <w:rsid w:val="006B7D63"/>
    <w:rsid w:val="006C00A3"/>
    <w:rsid w:val="006C02E6"/>
    <w:rsid w:val="006C0480"/>
    <w:rsid w:val="006C05BA"/>
    <w:rsid w:val="006C06F0"/>
    <w:rsid w:val="006C099E"/>
    <w:rsid w:val="006C0D0B"/>
    <w:rsid w:val="006C0D9E"/>
    <w:rsid w:val="006C10ED"/>
    <w:rsid w:val="006C1329"/>
    <w:rsid w:val="006C13C9"/>
    <w:rsid w:val="006C14BD"/>
    <w:rsid w:val="006C14FC"/>
    <w:rsid w:val="006C1623"/>
    <w:rsid w:val="006C1681"/>
    <w:rsid w:val="006C16F8"/>
    <w:rsid w:val="006C1768"/>
    <w:rsid w:val="006C17BE"/>
    <w:rsid w:val="006C17F6"/>
    <w:rsid w:val="006C1BAC"/>
    <w:rsid w:val="006C1D27"/>
    <w:rsid w:val="006C1D6E"/>
    <w:rsid w:val="006C1EA7"/>
    <w:rsid w:val="006C1ED3"/>
    <w:rsid w:val="006C1F34"/>
    <w:rsid w:val="006C1F37"/>
    <w:rsid w:val="006C21C1"/>
    <w:rsid w:val="006C2211"/>
    <w:rsid w:val="006C229F"/>
    <w:rsid w:val="006C2510"/>
    <w:rsid w:val="006C251D"/>
    <w:rsid w:val="006C27A7"/>
    <w:rsid w:val="006C27D3"/>
    <w:rsid w:val="006C27EC"/>
    <w:rsid w:val="006C2930"/>
    <w:rsid w:val="006C2997"/>
    <w:rsid w:val="006C2A4C"/>
    <w:rsid w:val="006C2A76"/>
    <w:rsid w:val="006C2C80"/>
    <w:rsid w:val="006C2CA0"/>
    <w:rsid w:val="006C2EDE"/>
    <w:rsid w:val="006C2F16"/>
    <w:rsid w:val="006C3097"/>
    <w:rsid w:val="006C328D"/>
    <w:rsid w:val="006C37CF"/>
    <w:rsid w:val="006C3873"/>
    <w:rsid w:val="006C3C0E"/>
    <w:rsid w:val="006C3C4C"/>
    <w:rsid w:val="006C3CF7"/>
    <w:rsid w:val="006C3D06"/>
    <w:rsid w:val="006C3D88"/>
    <w:rsid w:val="006C3D99"/>
    <w:rsid w:val="006C3DEF"/>
    <w:rsid w:val="006C3E48"/>
    <w:rsid w:val="006C3E8F"/>
    <w:rsid w:val="006C3E98"/>
    <w:rsid w:val="006C3E9B"/>
    <w:rsid w:val="006C432B"/>
    <w:rsid w:val="006C470C"/>
    <w:rsid w:val="006C47C9"/>
    <w:rsid w:val="006C48EE"/>
    <w:rsid w:val="006C4964"/>
    <w:rsid w:val="006C4A19"/>
    <w:rsid w:val="006C4A81"/>
    <w:rsid w:val="006C4CF9"/>
    <w:rsid w:val="006C4E59"/>
    <w:rsid w:val="006C4F1B"/>
    <w:rsid w:val="006C4F5D"/>
    <w:rsid w:val="006C5371"/>
    <w:rsid w:val="006C55DE"/>
    <w:rsid w:val="006C55FF"/>
    <w:rsid w:val="006C56C3"/>
    <w:rsid w:val="006C592B"/>
    <w:rsid w:val="006C59A6"/>
    <w:rsid w:val="006C5DF8"/>
    <w:rsid w:val="006C5F98"/>
    <w:rsid w:val="006C61B3"/>
    <w:rsid w:val="006C6434"/>
    <w:rsid w:val="006C64F5"/>
    <w:rsid w:val="006C66CA"/>
    <w:rsid w:val="006C683C"/>
    <w:rsid w:val="006C6D30"/>
    <w:rsid w:val="006C6F10"/>
    <w:rsid w:val="006C70CB"/>
    <w:rsid w:val="006C73AE"/>
    <w:rsid w:val="006C7878"/>
    <w:rsid w:val="006C7898"/>
    <w:rsid w:val="006C79ED"/>
    <w:rsid w:val="006C7B52"/>
    <w:rsid w:val="006C7BA3"/>
    <w:rsid w:val="006C7D39"/>
    <w:rsid w:val="006C7E44"/>
    <w:rsid w:val="006C7EB9"/>
    <w:rsid w:val="006D0096"/>
    <w:rsid w:val="006D01CF"/>
    <w:rsid w:val="006D04C2"/>
    <w:rsid w:val="006D06D6"/>
    <w:rsid w:val="006D075F"/>
    <w:rsid w:val="006D07B8"/>
    <w:rsid w:val="006D0A5A"/>
    <w:rsid w:val="006D0C73"/>
    <w:rsid w:val="006D0F83"/>
    <w:rsid w:val="006D0FD2"/>
    <w:rsid w:val="006D10BA"/>
    <w:rsid w:val="006D10BB"/>
    <w:rsid w:val="006D1174"/>
    <w:rsid w:val="006D12AF"/>
    <w:rsid w:val="006D12D7"/>
    <w:rsid w:val="006D1351"/>
    <w:rsid w:val="006D1357"/>
    <w:rsid w:val="006D1419"/>
    <w:rsid w:val="006D14CE"/>
    <w:rsid w:val="006D1553"/>
    <w:rsid w:val="006D16FF"/>
    <w:rsid w:val="006D1753"/>
    <w:rsid w:val="006D175A"/>
    <w:rsid w:val="006D17B5"/>
    <w:rsid w:val="006D18A3"/>
    <w:rsid w:val="006D18B3"/>
    <w:rsid w:val="006D1B38"/>
    <w:rsid w:val="006D1D4C"/>
    <w:rsid w:val="006D1E10"/>
    <w:rsid w:val="006D1F76"/>
    <w:rsid w:val="006D2011"/>
    <w:rsid w:val="006D2290"/>
    <w:rsid w:val="006D235C"/>
    <w:rsid w:val="006D23F0"/>
    <w:rsid w:val="006D2523"/>
    <w:rsid w:val="006D2A5D"/>
    <w:rsid w:val="006D2BDD"/>
    <w:rsid w:val="006D2F96"/>
    <w:rsid w:val="006D310D"/>
    <w:rsid w:val="006D31C0"/>
    <w:rsid w:val="006D32E2"/>
    <w:rsid w:val="006D32EF"/>
    <w:rsid w:val="006D33D5"/>
    <w:rsid w:val="006D34F8"/>
    <w:rsid w:val="006D357E"/>
    <w:rsid w:val="006D38C1"/>
    <w:rsid w:val="006D3979"/>
    <w:rsid w:val="006D39BA"/>
    <w:rsid w:val="006D3AD5"/>
    <w:rsid w:val="006D3B2B"/>
    <w:rsid w:val="006D3B58"/>
    <w:rsid w:val="006D3E89"/>
    <w:rsid w:val="006D41F6"/>
    <w:rsid w:val="006D4274"/>
    <w:rsid w:val="006D4283"/>
    <w:rsid w:val="006D436D"/>
    <w:rsid w:val="006D437B"/>
    <w:rsid w:val="006D4676"/>
    <w:rsid w:val="006D475B"/>
    <w:rsid w:val="006D4781"/>
    <w:rsid w:val="006D4925"/>
    <w:rsid w:val="006D49DA"/>
    <w:rsid w:val="006D4B76"/>
    <w:rsid w:val="006D4C44"/>
    <w:rsid w:val="006D4E7E"/>
    <w:rsid w:val="006D5545"/>
    <w:rsid w:val="006D55EE"/>
    <w:rsid w:val="006D572E"/>
    <w:rsid w:val="006D588B"/>
    <w:rsid w:val="006D5923"/>
    <w:rsid w:val="006D5977"/>
    <w:rsid w:val="006D5C2C"/>
    <w:rsid w:val="006D5C35"/>
    <w:rsid w:val="006D5C9D"/>
    <w:rsid w:val="006D5D57"/>
    <w:rsid w:val="006D5F2F"/>
    <w:rsid w:val="006D5F7D"/>
    <w:rsid w:val="006D605C"/>
    <w:rsid w:val="006D60A1"/>
    <w:rsid w:val="006D6295"/>
    <w:rsid w:val="006D62AA"/>
    <w:rsid w:val="006D654A"/>
    <w:rsid w:val="006D65E9"/>
    <w:rsid w:val="006D66DF"/>
    <w:rsid w:val="006D66F7"/>
    <w:rsid w:val="006D6793"/>
    <w:rsid w:val="006D68B1"/>
    <w:rsid w:val="006D698C"/>
    <w:rsid w:val="006D69EF"/>
    <w:rsid w:val="006D6A86"/>
    <w:rsid w:val="006D6A97"/>
    <w:rsid w:val="006D6BDD"/>
    <w:rsid w:val="006D6BFD"/>
    <w:rsid w:val="006D707D"/>
    <w:rsid w:val="006D7184"/>
    <w:rsid w:val="006D72FE"/>
    <w:rsid w:val="006D7301"/>
    <w:rsid w:val="006D7407"/>
    <w:rsid w:val="006D75C8"/>
    <w:rsid w:val="006D77AB"/>
    <w:rsid w:val="006D77D3"/>
    <w:rsid w:val="006D7967"/>
    <w:rsid w:val="006D7BB3"/>
    <w:rsid w:val="006D7D3A"/>
    <w:rsid w:val="006D7D65"/>
    <w:rsid w:val="006D7DDE"/>
    <w:rsid w:val="006D7E31"/>
    <w:rsid w:val="006D7FED"/>
    <w:rsid w:val="006E0042"/>
    <w:rsid w:val="006E00FD"/>
    <w:rsid w:val="006E0134"/>
    <w:rsid w:val="006E0287"/>
    <w:rsid w:val="006E02B2"/>
    <w:rsid w:val="006E055C"/>
    <w:rsid w:val="006E0646"/>
    <w:rsid w:val="006E06FE"/>
    <w:rsid w:val="006E078A"/>
    <w:rsid w:val="006E0837"/>
    <w:rsid w:val="006E093D"/>
    <w:rsid w:val="006E0969"/>
    <w:rsid w:val="006E0A30"/>
    <w:rsid w:val="006E0BB7"/>
    <w:rsid w:val="006E0C58"/>
    <w:rsid w:val="006E0D7A"/>
    <w:rsid w:val="006E0D8F"/>
    <w:rsid w:val="006E0E5C"/>
    <w:rsid w:val="006E0E77"/>
    <w:rsid w:val="006E10EA"/>
    <w:rsid w:val="006E13A6"/>
    <w:rsid w:val="006E146D"/>
    <w:rsid w:val="006E15D0"/>
    <w:rsid w:val="006E163B"/>
    <w:rsid w:val="006E1707"/>
    <w:rsid w:val="006E17FF"/>
    <w:rsid w:val="006E199E"/>
    <w:rsid w:val="006E1CBA"/>
    <w:rsid w:val="006E1DD8"/>
    <w:rsid w:val="006E235D"/>
    <w:rsid w:val="006E2411"/>
    <w:rsid w:val="006E2673"/>
    <w:rsid w:val="006E2684"/>
    <w:rsid w:val="006E26ED"/>
    <w:rsid w:val="006E2813"/>
    <w:rsid w:val="006E28CF"/>
    <w:rsid w:val="006E3021"/>
    <w:rsid w:val="006E3140"/>
    <w:rsid w:val="006E36E2"/>
    <w:rsid w:val="006E3737"/>
    <w:rsid w:val="006E376A"/>
    <w:rsid w:val="006E386F"/>
    <w:rsid w:val="006E3D5E"/>
    <w:rsid w:val="006E3D66"/>
    <w:rsid w:val="006E3E1C"/>
    <w:rsid w:val="006E4013"/>
    <w:rsid w:val="006E412E"/>
    <w:rsid w:val="006E41CB"/>
    <w:rsid w:val="006E44AE"/>
    <w:rsid w:val="006E492A"/>
    <w:rsid w:val="006E4A88"/>
    <w:rsid w:val="006E4B50"/>
    <w:rsid w:val="006E4BE0"/>
    <w:rsid w:val="006E5090"/>
    <w:rsid w:val="006E51CD"/>
    <w:rsid w:val="006E5224"/>
    <w:rsid w:val="006E5431"/>
    <w:rsid w:val="006E548D"/>
    <w:rsid w:val="006E5AAB"/>
    <w:rsid w:val="006E5AB0"/>
    <w:rsid w:val="006E5AED"/>
    <w:rsid w:val="006E5B85"/>
    <w:rsid w:val="006E5D43"/>
    <w:rsid w:val="006E62CB"/>
    <w:rsid w:val="006E633A"/>
    <w:rsid w:val="006E63E9"/>
    <w:rsid w:val="006E65A3"/>
    <w:rsid w:val="006E65B7"/>
    <w:rsid w:val="006E662A"/>
    <w:rsid w:val="006E66A2"/>
    <w:rsid w:val="006E6A6D"/>
    <w:rsid w:val="006E6C84"/>
    <w:rsid w:val="006E6CFE"/>
    <w:rsid w:val="006E6D10"/>
    <w:rsid w:val="006E6F38"/>
    <w:rsid w:val="006E7030"/>
    <w:rsid w:val="006E7074"/>
    <w:rsid w:val="006E73CE"/>
    <w:rsid w:val="006E77A6"/>
    <w:rsid w:val="006E7801"/>
    <w:rsid w:val="006E78AA"/>
    <w:rsid w:val="006E7BAC"/>
    <w:rsid w:val="006E7C1E"/>
    <w:rsid w:val="006E7CB4"/>
    <w:rsid w:val="006E7DD4"/>
    <w:rsid w:val="006E7E74"/>
    <w:rsid w:val="006E7F76"/>
    <w:rsid w:val="006F0002"/>
    <w:rsid w:val="006F03A5"/>
    <w:rsid w:val="006F03B7"/>
    <w:rsid w:val="006F0539"/>
    <w:rsid w:val="006F0554"/>
    <w:rsid w:val="006F0AC7"/>
    <w:rsid w:val="006F0AF2"/>
    <w:rsid w:val="006F0C78"/>
    <w:rsid w:val="006F0D5D"/>
    <w:rsid w:val="006F0E3B"/>
    <w:rsid w:val="006F0EB8"/>
    <w:rsid w:val="006F0F2B"/>
    <w:rsid w:val="006F0F35"/>
    <w:rsid w:val="006F0FE5"/>
    <w:rsid w:val="006F0FF1"/>
    <w:rsid w:val="006F1393"/>
    <w:rsid w:val="006F143D"/>
    <w:rsid w:val="006F1729"/>
    <w:rsid w:val="006F180A"/>
    <w:rsid w:val="006F1894"/>
    <w:rsid w:val="006F18AB"/>
    <w:rsid w:val="006F1ACB"/>
    <w:rsid w:val="006F1B00"/>
    <w:rsid w:val="006F1BAD"/>
    <w:rsid w:val="006F1C17"/>
    <w:rsid w:val="006F1DDA"/>
    <w:rsid w:val="006F1EBA"/>
    <w:rsid w:val="006F1EEB"/>
    <w:rsid w:val="006F1F6D"/>
    <w:rsid w:val="006F202E"/>
    <w:rsid w:val="006F2068"/>
    <w:rsid w:val="006F21CB"/>
    <w:rsid w:val="006F2304"/>
    <w:rsid w:val="006F245F"/>
    <w:rsid w:val="006F25A5"/>
    <w:rsid w:val="006F2654"/>
    <w:rsid w:val="006F269F"/>
    <w:rsid w:val="006F289D"/>
    <w:rsid w:val="006F297B"/>
    <w:rsid w:val="006F2B51"/>
    <w:rsid w:val="006F2CE5"/>
    <w:rsid w:val="006F2F35"/>
    <w:rsid w:val="006F2F7A"/>
    <w:rsid w:val="006F3179"/>
    <w:rsid w:val="006F31AA"/>
    <w:rsid w:val="006F3283"/>
    <w:rsid w:val="006F32E3"/>
    <w:rsid w:val="006F34C2"/>
    <w:rsid w:val="006F3507"/>
    <w:rsid w:val="006F356C"/>
    <w:rsid w:val="006F35FE"/>
    <w:rsid w:val="006F36D4"/>
    <w:rsid w:val="006F3814"/>
    <w:rsid w:val="006F39A0"/>
    <w:rsid w:val="006F3AFC"/>
    <w:rsid w:val="006F3DB8"/>
    <w:rsid w:val="006F3DC4"/>
    <w:rsid w:val="006F3DE9"/>
    <w:rsid w:val="006F3EAF"/>
    <w:rsid w:val="006F3FFB"/>
    <w:rsid w:val="006F41E2"/>
    <w:rsid w:val="006F426F"/>
    <w:rsid w:val="006F4598"/>
    <w:rsid w:val="006F4846"/>
    <w:rsid w:val="006F489D"/>
    <w:rsid w:val="006F49BA"/>
    <w:rsid w:val="006F4A19"/>
    <w:rsid w:val="006F4D3A"/>
    <w:rsid w:val="006F4E2C"/>
    <w:rsid w:val="006F4E4F"/>
    <w:rsid w:val="006F4E96"/>
    <w:rsid w:val="006F4EC3"/>
    <w:rsid w:val="006F4F34"/>
    <w:rsid w:val="006F5014"/>
    <w:rsid w:val="006F53CE"/>
    <w:rsid w:val="006F53F9"/>
    <w:rsid w:val="006F59AF"/>
    <w:rsid w:val="006F5B37"/>
    <w:rsid w:val="006F5B6B"/>
    <w:rsid w:val="006F5BE2"/>
    <w:rsid w:val="006F5CAB"/>
    <w:rsid w:val="006F5F39"/>
    <w:rsid w:val="006F623A"/>
    <w:rsid w:val="006F68B8"/>
    <w:rsid w:val="006F68D3"/>
    <w:rsid w:val="006F6A1F"/>
    <w:rsid w:val="006F6ADC"/>
    <w:rsid w:val="006F6C38"/>
    <w:rsid w:val="006F6FBB"/>
    <w:rsid w:val="006F70BC"/>
    <w:rsid w:val="006F7176"/>
    <w:rsid w:val="006F719F"/>
    <w:rsid w:val="006F7289"/>
    <w:rsid w:val="006F72E6"/>
    <w:rsid w:val="006F7388"/>
    <w:rsid w:val="006F740A"/>
    <w:rsid w:val="006F75FD"/>
    <w:rsid w:val="006F789C"/>
    <w:rsid w:val="006F7A43"/>
    <w:rsid w:val="006F7D99"/>
    <w:rsid w:val="006F7E9F"/>
    <w:rsid w:val="00700008"/>
    <w:rsid w:val="00700130"/>
    <w:rsid w:val="0070021C"/>
    <w:rsid w:val="00700382"/>
    <w:rsid w:val="007003AD"/>
    <w:rsid w:val="007004D1"/>
    <w:rsid w:val="00700523"/>
    <w:rsid w:val="0070082F"/>
    <w:rsid w:val="0070086D"/>
    <w:rsid w:val="0070090F"/>
    <w:rsid w:val="00700944"/>
    <w:rsid w:val="00700A29"/>
    <w:rsid w:val="00700C74"/>
    <w:rsid w:val="00700D8C"/>
    <w:rsid w:val="00700EB9"/>
    <w:rsid w:val="00700F59"/>
    <w:rsid w:val="00700F80"/>
    <w:rsid w:val="007010B5"/>
    <w:rsid w:val="007012FE"/>
    <w:rsid w:val="00701361"/>
    <w:rsid w:val="007015E1"/>
    <w:rsid w:val="007015E7"/>
    <w:rsid w:val="0070162F"/>
    <w:rsid w:val="00701736"/>
    <w:rsid w:val="0070194C"/>
    <w:rsid w:val="00701A10"/>
    <w:rsid w:val="00701DF7"/>
    <w:rsid w:val="00701E99"/>
    <w:rsid w:val="00701F62"/>
    <w:rsid w:val="00701FC2"/>
    <w:rsid w:val="0070205B"/>
    <w:rsid w:val="007020EF"/>
    <w:rsid w:val="007023BE"/>
    <w:rsid w:val="00702612"/>
    <w:rsid w:val="007028AA"/>
    <w:rsid w:val="00702B79"/>
    <w:rsid w:val="00702BAC"/>
    <w:rsid w:val="00702DC0"/>
    <w:rsid w:val="00702DD0"/>
    <w:rsid w:val="00702DE4"/>
    <w:rsid w:val="00703357"/>
    <w:rsid w:val="00703398"/>
    <w:rsid w:val="00703577"/>
    <w:rsid w:val="00703B2D"/>
    <w:rsid w:val="00703C4D"/>
    <w:rsid w:val="00703C64"/>
    <w:rsid w:val="00703F0B"/>
    <w:rsid w:val="00703FD6"/>
    <w:rsid w:val="0070409A"/>
    <w:rsid w:val="007041F4"/>
    <w:rsid w:val="00704222"/>
    <w:rsid w:val="007042E8"/>
    <w:rsid w:val="00704341"/>
    <w:rsid w:val="00704374"/>
    <w:rsid w:val="00704539"/>
    <w:rsid w:val="00704550"/>
    <w:rsid w:val="00704968"/>
    <w:rsid w:val="00704A7D"/>
    <w:rsid w:val="00704B6A"/>
    <w:rsid w:val="00704D8B"/>
    <w:rsid w:val="00705123"/>
    <w:rsid w:val="00705307"/>
    <w:rsid w:val="0070544A"/>
    <w:rsid w:val="007054B5"/>
    <w:rsid w:val="007057F9"/>
    <w:rsid w:val="00705A93"/>
    <w:rsid w:val="00705ACD"/>
    <w:rsid w:val="00705B2F"/>
    <w:rsid w:val="00705CDA"/>
    <w:rsid w:val="00705FF3"/>
    <w:rsid w:val="00706050"/>
    <w:rsid w:val="0070629B"/>
    <w:rsid w:val="00706947"/>
    <w:rsid w:val="00706A2A"/>
    <w:rsid w:val="00706A3F"/>
    <w:rsid w:val="00706C8E"/>
    <w:rsid w:val="00706E55"/>
    <w:rsid w:val="00706F05"/>
    <w:rsid w:val="00706F37"/>
    <w:rsid w:val="00707077"/>
    <w:rsid w:val="0070711C"/>
    <w:rsid w:val="00707381"/>
    <w:rsid w:val="00707401"/>
    <w:rsid w:val="0070767A"/>
    <w:rsid w:val="007076BE"/>
    <w:rsid w:val="00707BD8"/>
    <w:rsid w:val="00710081"/>
    <w:rsid w:val="007101FA"/>
    <w:rsid w:val="00710354"/>
    <w:rsid w:val="0071054C"/>
    <w:rsid w:val="0071065A"/>
    <w:rsid w:val="0071070D"/>
    <w:rsid w:val="00710717"/>
    <w:rsid w:val="0071073A"/>
    <w:rsid w:val="007108A1"/>
    <w:rsid w:val="007108EA"/>
    <w:rsid w:val="00710939"/>
    <w:rsid w:val="00710C9D"/>
    <w:rsid w:val="00710D95"/>
    <w:rsid w:val="00710EB4"/>
    <w:rsid w:val="00710ED4"/>
    <w:rsid w:val="00711053"/>
    <w:rsid w:val="00711518"/>
    <w:rsid w:val="00711757"/>
    <w:rsid w:val="0071181F"/>
    <w:rsid w:val="00711875"/>
    <w:rsid w:val="007118CA"/>
    <w:rsid w:val="00711AB9"/>
    <w:rsid w:val="00711ADD"/>
    <w:rsid w:val="00711C24"/>
    <w:rsid w:val="007120D4"/>
    <w:rsid w:val="0071218C"/>
    <w:rsid w:val="00712336"/>
    <w:rsid w:val="00712441"/>
    <w:rsid w:val="00712499"/>
    <w:rsid w:val="007125F9"/>
    <w:rsid w:val="007128D4"/>
    <w:rsid w:val="00712993"/>
    <w:rsid w:val="00712E48"/>
    <w:rsid w:val="007130F5"/>
    <w:rsid w:val="0071313E"/>
    <w:rsid w:val="0071321D"/>
    <w:rsid w:val="0071339D"/>
    <w:rsid w:val="007136E9"/>
    <w:rsid w:val="007137E6"/>
    <w:rsid w:val="0071383D"/>
    <w:rsid w:val="007139D6"/>
    <w:rsid w:val="00713B00"/>
    <w:rsid w:val="00713B6F"/>
    <w:rsid w:val="0071406B"/>
    <w:rsid w:val="0071435C"/>
    <w:rsid w:val="0071435E"/>
    <w:rsid w:val="00714700"/>
    <w:rsid w:val="00714829"/>
    <w:rsid w:val="00714B73"/>
    <w:rsid w:val="00714E04"/>
    <w:rsid w:val="00714F46"/>
    <w:rsid w:val="007154D2"/>
    <w:rsid w:val="00715517"/>
    <w:rsid w:val="007155BC"/>
    <w:rsid w:val="007155CD"/>
    <w:rsid w:val="00715C1A"/>
    <w:rsid w:val="00715F2B"/>
    <w:rsid w:val="007160C9"/>
    <w:rsid w:val="0071611E"/>
    <w:rsid w:val="0071626A"/>
    <w:rsid w:val="007162A6"/>
    <w:rsid w:val="0071632E"/>
    <w:rsid w:val="0071650B"/>
    <w:rsid w:val="0071650D"/>
    <w:rsid w:val="0071673C"/>
    <w:rsid w:val="00716797"/>
    <w:rsid w:val="0071685A"/>
    <w:rsid w:val="00716F91"/>
    <w:rsid w:val="00717019"/>
    <w:rsid w:val="00717188"/>
    <w:rsid w:val="0071769B"/>
    <w:rsid w:val="00717C55"/>
    <w:rsid w:val="00717D21"/>
    <w:rsid w:val="00717E4B"/>
    <w:rsid w:val="00717E9E"/>
    <w:rsid w:val="00717FD4"/>
    <w:rsid w:val="007201DF"/>
    <w:rsid w:val="007201FD"/>
    <w:rsid w:val="00720250"/>
    <w:rsid w:val="00720365"/>
    <w:rsid w:val="00720367"/>
    <w:rsid w:val="00720387"/>
    <w:rsid w:val="007203BF"/>
    <w:rsid w:val="0072043D"/>
    <w:rsid w:val="0072073D"/>
    <w:rsid w:val="007207BA"/>
    <w:rsid w:val="00720859"/>
    <w:rsid w:val="00720E33"/>
    <w:rsid w:val="00720EC0"/>
    <w:rsid w:val="00720F4F"/>
    <w:rsid w:val="00720F80"/>
    <w:rsid w:val="0072148B"/>
    <w:rsid w:val="007215E6"/>
    <w:rsid w:val="007216C7"/>
    <w:rsid w:val="00721759"/>
    <w:rsid w:val="007217F0"/>
    <w:rsid w:val="007218B4"/>
    <w:rsid w:val="00721AA3"/>
    <w:rsid w:val="00721AF7"/>
    <w:rsid w:val="00721D90"/>
    <w:rsid w:val="00721EFA"/>
    <w:rsid w:val="0072204B"/>
    <w:rsid w:val="0072205E"/>
    <w:rsid w:val="00722258"/>
    <w:rsid w:val="00722398"/>
    <w:rsid w:val="00722431"/>
    <w:rsid w:val="0072273B"/>
    <w:rsid w:val="00722ADD"/>
    <w:rsid w:val="00722DA4"/>
    <w:rsid w:val="00722E8F"/>
    <w:rsid w:val="00723003"/>
    <w:rsid w:val="007231F2"/>
    <w:rsid w:val="00723234"/>
    <w:rsid w:val="00723326"/>
    <w:rsid w:val="007235CA"/>
    <w:rsid w:val="007235F6"/>
    <w:rsid w:val="007237BF"/>
    <w:rsid w:val="007238CE"/>
    <w:rsid w:val="00723905"/>
    <w:rsid w:val="00723A28"/>
    <w:rsid w:val="00723E9E"/>
    <w:rsid w:val="00724117"/>
    <w:rsid w:val="0072424A"/>
    <w:rsid w:val="0072424D"/>
    <w:rsid w:val="00724528"/>
    <w:rsid w:val="0072473A"/>
    <w:rsid w:val="007249F6"/>
    <w:rsid w:val="00724C5B"/>
    <w:rsid w:val="00724D8B"/>
    <w:rsid w:val="007250DD"/>
    <w:rsid w:val="00725486"/>
    <w:rsid w:val="007254B0"/>
    <w:rsid w:val="0072566D"/>
    <w:rsid w:val="0072589B"/>
    <w:rsid w:val="00725B78"/>
    <w:rsid w:val="00725ECA"/>
    <w:rsid w:val="00726029"/>
    <w:rsid w:val="0072604C"/>
    <w:rsid w:val="00726774"/>
    <w:rsid w:val="00726A18"/>
    <w:rsid w:val="00726A9A"/>
    <w:rsid w:val="00726ACB"/>
    <w:rsid w:val="00726AF3"/>
    <w:rsid w:val="00726C43"/>
    <w:rsid w:val="00726CC8"/>
    <w:rsid w:val="00726F2B"/>
    <w:rsid w:val="00726FCE"/>
    <w:rsid w:val="00727140"/>
    <w:rsid w:val="00727211"/>
    <w:rsid w:val="0072755D"/>
    <w:rsid w:val="0072766F"/>
    <w:rsid w:val="0072769E"/>
    <w:rsid w:val="007277B7"/>
    <w:rsid w:val="00727854"/>
    <w:rsid w:val="007278D6"/>
    <w:rsid w:val="00727C65"/>
    <w:rsid w:val="00727C6D"/>
    <w:rsid w:val="00727D20"/>
    <w:rsid w:val="00727D51"/>
    <w:rsid w:val="00727DD9"/>
    <w:rsid w:val="00727F84"/>
    <w:rsid w:val="00727F9D"/>
    <w:rsid w:val="00730085"/>
    <w:rsid w:val="007300D8"/>
    <w:rsid w:val="00730181"/>
    <w:rsid w:val="007302E2"/>
    <w:rsid w:val="00730496"/>
    <w:rsid w:val="007304AA"/>
    <w:rsid w:val="00730577"/>
    <w:rsid w:val="007305C3"/>
    <w:rsid w:val="007307E3"/>
    <w:rsid w:val="007307E4"/>
    <w:rsid w:val="00730B0A"/>
    <w:rsid w:val="00730B88"/>
    <w:rsid w:val="00731081"/>
    <w:rsid w:val="007311BA"/>
    <w:rsid w:val="007313B1"/>
    <w:rsid w:val="00731448"/>
    <w:rsid w:val="0073156C"/>
    <w:rsid w:val="00731891"/>
    <w:rsid w:val="00731AE2"/>
    <w:rsid w:val="00731B4C"/>
    <w:rsid w:val="00731C1E"/>
    <w:rsid w:val="00731D6C"/>
    <w:rsid w:val="00731DB7"/>
    <w:rsid w:val="00732048"/>
    <w:rsid w:val="0073229A"/>
    <w:rsid w:val="00732326"/>
    <w:rsid w:val="007323E9"/>
    <w:rsid w:val="0073249B"/>
    <w:rsid w:val="00732567"/>
    <w:rsid w:val="0073264F"/>
    <w:rsid w:val="0073277E"/>
    <w:rsid w:val="00732955"/>
    <w:rsid w:val="00732A32"/>
    <w:rsid w:val="00732AE1"/>
    <w:rsid w:val="00732C1C"/>
    <w:rsid w:val="00732D26"/>
    <w:rsid w:val="007330BA"/>
    <w:rsid w:val="007330D5"/>
    <w:rsid w:val="007331E0"/>
    <w:rsid w:val="00733733"/>
    <w:rsid w:val="007338AC"/>
    <w:rsid w:val="00733AEA"/>
    <w:rsid w:val="00733CD5"/>
    <w:rsid w:val="00733DE6"/>
    <w:rsid w:val="00733E88"/>
    <w:rsid w:val="00733E99"/>
    <w:rsid w:val="00733F58"/>
    <w:rsid w:val="00733FF6"/>
    <w:rsid w:val="0073404E"/>
    <w:rsid w:val="0073406C"/>
    <w:rsid w:val="00734239"/>
    <w:rsid w:val="0073427B"/>
    <w:rsid w:val="0073429F"/>
    <w:rsid w:val="0073438F"/>
    <w:rsid w:val="00734394"/>
    <w:rsid w:val="00734471"/>
    <w:rsid w:val="007345E5"/>
    <w:rsid w:val="007346AB"/>
    <w:rsid w:val="007346CA"/>
    <w:rsid w:val="0073480B"/>
    <w:rsid w:val="0073496A"/>
    <w:rsid w:val="007349AB"/>
    <w:rsid w:val="00734AA0"/>
    <w:rsid w:val="00734AB7"/>
    <w:rsid w:val="00734CD2"/>
    <w:rsid w:val="00734CE8"/>
    <w:rsid w:val="00734DA7"/>
    <w:rsid w:val="00734E3D"/>
    <w:rsid w:val="00734EEA"/>
    <w:rsid w:val="00734F26"/>
    <w:rsid w:val="00735241"/>
    <w:rsid w:val="007355C6"/>
    <w:rsid w:val="007358CA"/>
    <w:rsid w:val="00735BBB"/>
    <w:rsid w:val="00735C52"/>
    <w:rsid w:val="00735CFD"/>
    <w:rsid w:val="00736167"/>
    <w:rsid w:val="00736709"/>
    <w:rsid w:val="00736748"/>
    <w:rsid w:val="007369DD"/>
    <w:rsid w:val="00736B73"/>
    <w:rsid w:val="00736BEB"/>
    <w:rsid w:val="00736C88"/>
    <w:rsid w:val="00736D3F"/>
    <w:rsid w:val="00736ED7"/>
    <w:rsid w:val="00736F48"/>
    <w:rsid w:val="00736FF5"/>
    <w:rsid w:val="00737010"/>
    <w:rsid w:val="007370CB"/>
    <w:rsid w:val="0073719D"/>
    <w:rsid w:val="0073729C"/>
    <w:rsid w:val="00737389"/>
    <w:rsid w:val="0073757C"/>
    <w:rsid w:val="007376DE"/>
    <w:rsid w:val="0073774B"/>
    <w:rsid w:val="00737AE8"/>
    <w:rsid w:val="00737B2B"/>
    <w:rsid w:val="00737C15"/>
    <w:rsid w:val="00740035"/>
    <w:rsid w:val="00740135"/>
    <w:rsid w:val="0074030D"/>
    <w:rsid w:val="0074045D"/>
    <w:rsid w:val="0074053A"/>
    <w:rsid w:val="007406C3"/>
    <w:rsid w:val="00740782"/>
    <w:rsid w:val="0074099A"/>
    <w:rsid w:val="00740CE7"/>
    <w:rsid w:val="00740D72"/>
    <w:rsid w:val="00740E22"/>
    <w:rsid w:val="00740FA4"/>
    <w:rsid w:val="00741024"/>
    <w:rsid w:val="00741162"/>
    <w:rsid w:val="00741407"/>
    <w:rsid w:val="007414A7"/>
    <w:rsid w:val="00741A30"/>
    <w:rsid w:val="00741A4B"/>
    <w:rsid w:val="00741BA0"/>
    <w:rsid w:val="00741C16"/>
    <w:rsid w:val="00741C67"/>
    <w:rsid w:val="00741CF0"/>
    <w:rsid w:val="0074204F"/>
    <w:rsid w:val="00742287"/>
    <w:rsid w:val="00742484"/>
    <w:rsid w:val="00742658"/>
    <w:rsid w:val="007426BC"/>
    <w:rsid w:val="00742AA1"/>
    <w:rsid w:val="00742EAD"/>
    <w:rsid w:val="00742F96"/>
    <w:rsid w:val="0074313A"/>
    <w:rsid w:val="0074338B"/>
    <w:rsid w:val="00743874"/>
    <w:rsid w:val="00743A55"/>
    <w:rsid w:val="00743D6D"/>
    <w:rsid w:val="00743E03"/>
    <w:rsid w:val="00743ED1"/>
    <w:rsid w:val="0074408C"/>
    <w:rsid w:val="00744415"/>
    <w:rsid w:val="007447F7"/>
    <w:rsid w:val="0074486E"/>
    <w:rsid w:val="00744870"/>
    <w:rsid w:val="007449C5"/>
    <w:rsid w:val="00744AC3"/>
    <w:rsid w:val="00744BDE"/>
    <w:rsid w:val="00744C9A"/>
    <w:rsid w:val="00744E67"/>
    <w:rsid w:val="00744FBB"/>
    <w:rsid w:val="007450C5"/>
    <w:rsid w:val="0074539B"/>
    <w:rsid w:val="007453E0"/>
    <w:rsid w:val="00745516"/>
    <w:rsid w:val="00745751"/>
    <w:rsid w:val="00745780"/>
    <w:rsid w:val="007459F6"/>
    <w:rsid w:val="00745A46"/>
    <w:rsid w:val="00745BD2"/>
    <w:rsid w:val="00745DF7"/>
    <w:rsid w:val="00745E12"/>
    <w:rsid w:val="00745E2D"/>
    <w:rsid w:val="00745F1E"/>
    <w:rsid w:val="00745F77"/>
    <w:rsid w:val="00745FAF"/>
    <w:rsid w:val="00745FFC"/>
    <w:rsid w:val="0074609B"/>
    <w:rsid w:val="00746137"/>
    <w:rsid w:val="00746178"/>
    <w:rsid w:val="007463C1"/>
    <w:rsid w:val="0074657B"/>
    <w:rsid w:val="0074662D"/>
    <w:rsid w:val="007466CC"/>
    <w:rsid w:val="0074671A"/>
    <w:rsid w:val="00746737"/>
    <w:rsid w:val="007469AE"/>
    <w:rsid w:val="00746A01"/>
    <w:rsid w:val="00746A7F"/>
    <w:rsid w:val="00746CC4"/>
    <w:rsid w:val="00746CFC"/>
    <w:rsid w:val="0074704F"/>
    <w:rsid w:val="007472D4"/>
    <w:rsid w:val="0074744D"/>
    <w:rsid w:val="007474CF"/>
    <w:rsid w:val="0074760E"/>
    <w:rsid w:val="00747850"/>
    <w:rsid w:val="00747A21"/>
    <w:rsid w:val="00747D59"/>
    <w:rsid w:val="00747DE3"/>
    <w:rsid w:val="00750398"/>
    <w:rsid w:val="0075041C"/>
    <w:rsid w:val="00750482"/>
    <w:rsid w:val="007506B6"/>
    <w:rsid w:val="007507BF"/>
    <w:rsid w:val="00750819"/>
    <w:rsid w:val="007508BA"/>
    <w:rsid w:val="00750B0B"/>
    <w:rsid w:val="00750E12"/>
    <w:rsid w:val="00750E5E"/>
    <w:rsid w:val="00750F38"/>
    <w:rsid w:val="007512B7"/>
    <w:rsid w:val="007513D0"/>
    <w:rsid w:val="0075161D"/>
    <w:rsid w:val="00751697"/>
    <w:rsid w:val="00751738"/>
    <w:rsid w:val="0075173E"/>
    <w:rsid w:val="00751764"/>
    <w:rsid w:val="00751831"/>
    <w:rsid w:val="007519EA"/>
    <w:rsid w:val="00751A7E"/>
    <w:rsid w:val="00751B9E"/>
    <w:rsid w:val="00751D99"/>
    <w:rsid w:val="00751DC0"/>
    <w:rsid w:val="00751F02"/>
    <w:rsid w:val="00752123"/>
    <w:rsid w:val="0075244E"/>
    <w:rsid w:val="00752682"/>
    <w:rsid w:val="0075288B"/>
    <w:rsid w:val="00752A5A"/>
    <w:rsid w:val="00752C8F"/>
    <w:rsid w:val="00752D91"/>
    <w:rsid w:val="00752E9D"/>
    <w:rsid w:val="00753077"/>
    <w:rsid w:val="0075318B"/>
    <w:rsid w:val="007531AF"/>
    <w:rsid w:val="007531D8"/>
    <w:rsid w:val="007534D6"/>
    <w:rsid w:val="007536B8"/>
    <w:rsid w:val="00753767"/>
    <w:rsid w:val="00753858"/>
    <w:rsid w:val="00753992"/>
    <w:rsid w:val="007539A6"/>
    <w:rsid w:val="00753AA9"/>
    <w:rsid w:val="00753C51"/>
    <w:rsid w:val="00753D89"/>
    <w:rsid w:val="00753F4D"/>
    <w:rsid w:val="0075407D"/>
    <w:rsid w:val="007540BE"/>
    <w:rsid w:val="007540CA"/>
    <w:rsid w:val="00754100"/>
    <w:rsid w:val="00754343"/>
    <w:rsid w:val="0075484A"/>
    <w:rsid w:val="00754870"/>
    <w:rsid w:val="0075497E"/>
    <w:rsid w:val="00754A61"/>
    <w:rsid w:val="00754CA9"/>
    <w:rsid w:val="00754F52"/>
    <w:rsid w:val="00754FDE"/>
    <w:rsid w:val="007550B5"/>
    <w:rsid w:val="007553DC"/>
    <w:rsid w:val="007554B4"/>
    <w:rsid w:val="007554FA"/>
    <w:rsid w:val="00755590"/>
    <w:rsid w:val="007556F5"/>
    <w:rsid w:val="007557E6"/>
    <w:rsid w:val="00755935"/>
    <w:rsid w:val="00755ABE"/>
    <w:rsid w:val="00755B40"/>
    <w:rsid w:val="00755FC0"/>
    <w:rsid w:val="00755FF0"/>
    <w:rsid w:val="00756391"/>
    <w:rsid w:val="0075656A"/>
    <w:rsid w:val="00756912"/>
    <w:rsid w:val="00756EC9"/>
    <w:rsid w:val="007572D4"/>
    <w:rsid w:val="0075755E"/>
    <w:rsid w:val="00757631"/>
    <w:rsid w:val="007576E7"/>
    <w:rsid w:val="00757945"/>
    <w:rsid w:val="00757A3B"/>
    <w:rsid w:val="00757B78"/>
    <w:rsid w:val="00757B7D"/>
    <w:rsid w:val="00757C0E"/>
    <w:rsid w:val="00757CC1"/>
    <w:rsid w:val="00757E45"/>
    <w:rsid w:val="00757E69"/>
    <w:rsid w:val="0076033C"/>
    <w:rsid w:val="007606C1"/>
    <w:rsid w:val="007606FE"/>
    <w:rsid w:val="00760745"/>
    <w:rsid w:val="00760AC4"/>
    <w:rsid w:val="00760B4F"/>
    <w:rsid w:val="00760BAD"/>
    <w:rsid w:val="00760C8F"/>
    <w:rsid w:val="00760D09"/>
    <w:rsid w:val="00760EF7"/>
    <w:rsid w:val="00761005"/>
    <w:rsid w:val="00761385"/>
    <w:rsid w:val="00761422"/>
    <w:rsid w:val="00761743"/>
    <w:rsid w:val="007619C7"/>
    <w:rsid w:val="00761A66"/>
    <w:rsid w:val="00761ADF"/>
    <w:rsid w:val="00761B13"/>
    <w:rsid w:val="00761C14"/>
    <w:rsid w:val="00761C6E"/>
    <w:rsid w:val="00761D2E"/>
    <w:rsid w:val="00761D7C"/>
    <w:rsid w:val="00761DC2"/>
    <w:rsid w:val="00761E67"/>
    <w:rsid w:val="00761FB2"/>
    <w:rsid w:val="0076201B"/>
    <w:rsid w:val="007620BB"/>
    <w:rsid w:val="00762289"/>
    <w:rsid w:val="007623CF"/>
    <w:rsid w:val="007623D2"/>
    <w:rsid w:val="0076267A"/>
    <w:rsid w:val="0076271A"/>
    <w:rsid w:val="00762C8E"/>
    <w:rsid w:val="00762DD9"/>
    <w:rsid w:val="00762E33"/>
    <w:rsid w:val="007634EE"/>
    <w:rsid w:val="007636E4"/>
    <w:rsid w:val="00763891"/>
    <w:rsid w:val="00763B7B"/>
    <w:rsid w:val="00763BD6"/>
    <w:rsid w:val="00763C6A"/>
    <w:rsid w:val="00763CAE"/>
    <w:rsid w:val="00763D37"/>
    <w:rsid w:val="00763E02"/>
    <w:rsid w:val="00763E22"/>
    <w:rsid w:val="00763E98"/>
    <w:rsid w:val="0076403A"/>
    <w:rsid w:val="0076413B"/>
    <w:rsid w:val="007641D9"/>
    <w:rsid w:val="00764327"/>
    <w:rsid w:val="007644A0"/>
    <w:rsid w:val="00764802"/>
    <w:rsid w:val="00764819"/>
    <w:rsid w:val="00764AC1"/>
    <w:rsid w:val="00764B3E"/>
    <w:rsid w:val="00764DEB"/>
    <w:rsid w:val="00764EC4"/>
    <w:rsid w:val="00764ECC"/>
    <w:rsid w:val="00764FF0"/>
    <w:rsid w:val="007650E1"/>
    <w:rsid w:val="0076514C"/>
    <w:rsid w:val="0076534B"/>
    <w:rsid w:val="0076550B"/>
    <w:rsid w:val="00765519"/>
    <w:rsid w:val="0076567C"/>
    <w:rsid w:val="00765A7C"/>
    <w:rsid w:val="00765B33"/>
    <w:rsid w:val="00765B7C"/>
    <w:rsid w:val="00765C09"/>
    <w:rsid w:val="00765DB2"/>
    <w:rsid w:val="00765EE5"/>
    <w:rsid w:val="007661A5"/>
    <w:rsid w:val="0076621F"/>
    <w:rsid w:val="00766227"/>
    <w:rsid w:val="00766464"/>
    <w:rsid w:val="007664C2"/>
    <w:rsid w:val="00766571"/>
    <w:rsid w:val="007667A1"/>
    <w:rsid w:val="00766975"/>
    <w:rsid w:val="00766E39"/>
    <w:rsid w:val="00766E89"/>
    <w:rsid w:val="007670DB"/>
    <w:rsid w:val="007671EE"/>
    <w:rsid w:val="00767240"/>
    <w:rsid w:val="00767289"/>
    <w:rsid w:val="007673BB"/>
    <w:rsid w:val="00767730"/>
    <w:rsid w:val="007677E6"/>
    <w:rsid w:val="00767E3F"/>
    <w:rsid w:val="00767FDE"/>
    <w:rsid w:val="0077003D"/>
    <w:rsid w:val="0077017A"/>
    <w:rsid w:val="00770259"/>
    <w:rsid w:val="0077028B"/>
    <w:rsid w:val="007702A8"/>
    <w:rsid w:val="00770346"/>
    <w:rsid w:val="007704CD"/>
    <w:rsid w:val="007705AC"/>
    <w:rsid w:val="007709C7"/>
    <w:rsid w:val="00770B88"/>
    <w:rsid w:val="00770D35"/>
    <w:rsid w:val="00770F02"/>
    <w:rsid w:val="00771053"/>
    <w:rsid w:val="007710E7"/>
    <w:rsid w:val="007714ED"/>
    <w:rsid w:val="0077150F"/>
    <w:rsid w:val="00771AF0"/>
    <w:rsid w:val="00771C09"/>
    <w:rsid w:val="0077201B"/>
    <w:rsid w:val="0077231E"/>
    <w:rsid w:val="007723E6"/>
    <w:rsid w:val="007725F9"/>
    <w:rsid w:val="00772692"/>
    <w:rsid w:val="007726D0"/>
    <w:rsid w:val="0077292D"/>
    <w:rsid w:val="00772976"/>
    <w:rsid w:val="00772A1F"/>
    <w:rsid w:val="00772B09"/>
    <w:rsid w:val="00772B7C"/>
    <w:rsid w:val="00772DDF"/>
    <w:rsid w:val="00772EAE"/>
    <w:rsid w:val="00772FBD"/>
    <w:rsid w:val="00773124"/>
    <w:rsid w:val="0077312B"/>
    <w:rsid w:val="00773681"/>
    <w:rsid w:val="0077369A"/>
    <w:rsid w:val="00773863"/>
    <w:rsid w:val="00773963"/>
    <w:rsid w:val="007739F0"/>
    <w:rsid w:val="007739FC"/>
    <w:rsid w:val="00773A37"/>
    <w:rsid w:val="00773A63"/>
    <w:rsid w:val="00773B5A"/>
    <w:rsid w:val="00773CCD"/>
    <w:rsid w:val="00773DC8"/>
    <w:rsid w:val="007741BC"/>
    <w:rsid w:val="00774213"/>
    <w:rsid w:val="00774221"/>
    <w:rsid w:val="0077430E"/>
    <w:rsid w:val="00774358"/>
    <w:rsid w:val="007743B3"/>
    <w:rsid w:val="00774550"/>
    <w:rsid w:val="00774628"/>
    <w:rsid w:val="007746A9"/>
    <w:rsid w:val="007746C4"/>
    <w:rsid w:val="007747B9"/>
    <w:rsid w:val="00774AD8"/>
    <w:rsid w:val="00774B01"/>
    <w:rsid w:val="00774C6E"/>
    <w:rsid w:val="00774DB6"/>
    <w:rsid w:val="00774F67"/>
    <w:rsid w:val="00774FFE"/>
    <w:rsid w:val="00775333"/>
    <w:rsid w:val="00775607"/>
    <w:rsid w:val="007758A4"/>
    <w:rsid w:val="007758AC"/>
    <w:rsid w:val="00775C17"/>
    <w:rsid w:val="00775DF4"/>
    <w:rsid w:val="00775E59"/>
    <w:rsid w:val="0077658D"/>
    <w:rsid w:val="007767C8"/>
    <w:rsid w:val="00776A58"/>
    <w:rsid w:val="00776BBA"/>
    <w:rsid w:val="00776C80"/>
    <w:rsid w:val="00776CC4"/>
    <w:rsid w:val="00776DA3"/>
    <w:rsid w:val="007771D4"/>
    <w:rsid w:val="007772B2"/>
    <w:rsid w:val="007772ED"/>
    <w:rsid w:val="00777311"/>
    <w:rsid w:val="00777321"/>
    <w:rsid w:val="00777337"/>
    <w:rsid w:val="00777755"/>
    <w:rsid w:val="00777925"/>
    <w:rsid w:val="0077795C"/>
    <w:rsid w:val="00777C7A"/>
    <w:rsid w:val="00777DA7"/>
    <w:rsid w:val="0078006C"/>
    <w:rsid w:val="00780081"/>
    <w:rsid w:val="0078021A"/>
    <w:rsid w:val="0078066B"/>
    <w:rsid w:val="0078071F"/>
    <w:rsid w:val="007807AD"/>
    <w:rsid w:val="00780916"/>
    <w:rsid w:val="00780A61"/>
    <w:rsid w:val="00780A76"/>
    <w:rsid w:val="00780C15"/>
    <w:rsid w:val="00780D77"/>
    <w:rsid w:val="00780F25"/>
    <w:rsid w:val="00780F26"/>
    <w:rsid w:val="00781027"/>
    <w:rsid w:val="00781145"/>
    <w:rsid w:val="007811E8"/>
    <w:rsid w:val="007815BA"/>
    <w:rsid w:val="00781683"/>
    <w:rsid w:val="00781B8A"/>
    <w:rsid w:val="00781E70"/>
    <w:rsid w:val="00781FA1"/>
    <w:rsid w:val="007820C3"/>
    <w:rsid w:val="007820E1"/>
    <w:rsid w:val="007823A1"/>
    <w:rsid w:val="007824DB"/>
    <w:rsid w:val="00782574"/>
    <w:rsid w:val="00782577"/>
    <w:rsid w:val="0078274E"/>
    <w:rsid w:val="00782793"/>
    <w:rsid w:val="0078282B"/>
    <w:rsid w:val="00782865"/>
    <w:rsid w:val="007828A7"/>
    <w:rsid w:val="007829E9"/>
    <w:rsid w:val="00782B95"/>
    <w:rsid w:val="00782BCF"/>
    <w:rsid w:val="00782D86"/>
    <w:rsid w:val="0078306D"/>
    <w:rsid w:val="00783118"/>
    <w:rsid w:val="0078317A"/>
    <w:rsid w:val="007832F6"/>
    <w:rsid w:val="007836F3"/>
    <w:rsid w:val="00783A51"/>
    <w:rsid w:val="00783BA0"/>
    <w:rsid w:val="00783C20"/>
    <w:rsid w:val="00783C3A"/>
    <w:rsid w:val="00783F1D"/>
    <w:rsid w:val="00783FA3"/>
    <w:rsid w:val="00784097"/>
    <w:rsid w:val="00784169"/>
    <w:rsid w:val="007844DB"/>
    <w:rsid w:val="00784686"/>
    <w:rsid w:val="007846A5"/>
    <w:rsid w:val="00784970"/>
    <w:rsid w:val="00784EEF"/>
    <w:rsid w:val="00784F55"/>
    <w:rsid w:val="00784FD2"/>
    <w:rsid w:val="00784FE4"/>
    <w:rsid w:val="0078521C"/>
    <w:rsid w:val="0078525C"/>
    <w:rsid w:val="0078537B"/>
    <w:rsid w:val="0078542F"/>
    <w:rsid w:val="00785476"/>
    <w:rsid w:val="007854DB"/>
    <w:rsid w:val="00785605"/>
    <w:rsid w:val="007857BB"/>
    <w:rsid w:val="007857E6"/>
    <w:rsid w:val="007858A3"/>
    <w:rsid w:val="007859F8"/>
    <w:rsid w:val="00785B4A"/>
    <w:rsid w:val="0078601E"/>
    <w:rsid w:val="007860B3"/>
    <w:rsid w:val="007862DA"/>
    <w:rsid w:val="00786502"/>
    <w:rsid w:val="00786695"/>
    <w:rsid w:val="00786AF0"/>
    <w:rsid w:val="00786BF3"/>
    <w:rsid w:val="00786C32"/>
    <w:rsid w:val="00786C54"/>
    <w:rsid w:val="00786C56"/>
    <w:rsid w:val="00786CC9"/>
    <w:rsid w:val="00786D92"/>
    <w:rsid w:val="00786EAF"/>
    <w:rsid w:val="00786FFA"/>
    <w:rsid w:val="0078703A"/>
    <w:rsid w:val="007871B5"/>
    <w:rsid w:val="0078728E"/>
    <w:rsid w:val="00787324"/>
    <w:rsid w:val="00787620"/>
    <w:rsid w:val="007876E4"/>
    <w:rsid w:val="007877DB"/>
    <w:rsid w:val="007878E1"/>
    <w:rsid w:val="00787A8E"/>
    <w:rsid w:val="00787BA3"/>
    <w:rsid w:val="00787BBE"/>
    <w:rsid w:val="00787ED7"/>
    <w:rsid w:val="00790078"/>
    <w:rsid w:val="0079016C"/>
    <w:rsid w:val="0079051D"/>
    <w:rsid w:val="00790688"/>
    <w:rsid w:val="0079096A"/>
    <w:rsid w:val="00790C07"/>
    <w:rsid w:val="00790EAA"/>
    <w:rsid w:val="0079156A"/>
    <w:rsid w:val="00791585"/>
    <w:rsid w:val="007918F0"/>
    <w:rsid w:val="00791A63"/>
    <w:rsid w:val="00791BF3"/>
    <w:rsid w:val="00791D2F"/>
    <w:rsid w:val="00791DCC"/>
    <w:rsid w:val="00791E05"/>
    <w:rsid w:val="00791F37"/>
    <w:rsid w:val="00791FDA"/>
    <w:rsid w:val="0079207D"/>
    <w:rsid w:val="00792155"/>
    <w:rsid w:val="00792366"/>
    <w:rsid w:val="007924D9"/>
    <w:rsid w:val="00792527"/>
    <w:rsid w:val="0079294E"/>
    <w:rsid w:val="007929C7"/>
    <w:rsid w:val="00792A4B"/>
    <w:rsid w:val="00792A6A"/>
    <w:rsid w:val="00792ACB"/>
    <w:rsid w:val="00792B3C"/>
    <w:rsid w:val="00792C02"/>
    <w:rsid w:val="00792CF4"/>
    <w:rsid w:val="00792EFB"/>
    <w:rsid w:val="00792F2D"/>
    <w:rsid w:val="00793407"/>
    <w:rsid w:val="00793676"/>
    <w:rsid w:val="00793771"/>
    <w:rsid w:val="007937AE"/>
    <w:rsid w:val="007938D3"/>
    <w:rsid w:val="007939F9"/>
    <w:rsid w:val="00793D83"/>
    <w:rsid w:val="00793FE8"/>
    <w:rsid w:val="007940BE"/>
    <w:rsid w:val="00794415"/>
    <w:rsid w:val="0079449F"/>
    <w:rsid w:val="00794785"/>
    <w:rsid w:val="00794A7F"/>
    <w:rsid w:val="00794ADC"/>
    <w:rsid w:val="00794AF8"/>
    <w:rsid w:val="00794B5D"/>
    <w:rsid w:val="00794B7F"/>
    <w:rsid w:val="00794DC3"/>
    <w:rsid w:val="00794E69"/>
    <w:rsid w:val="00794F63"/>
    <w:rsid w:val="00794FEA"/>
    <w:rsid w:val="00795054"/>
    <w:rsid w:val="00795152"/>
    <w:rsid w:val="007951E6"/>
    <w:rsid w:val="00795AA2"/>
    <w:rsid w:val="00795ABA"/>
    <w:rsid w:val="00795C13"/>
    <w:rsid w:val="00795C14"/>
    <w:rsid w:val="00796081"/>
    <w:rsid w:val="00796995"/>
    <w:rsid w:val="00796D90"/>
    <w:rsid w:val="00796E92"/>
    <w:rsid w:val="00796EFB"/>
    <w:rsid w:val="00796F2D"/>
    <w:rsid w:val="00796F40"/>
    <w:rsid w:val="00797085"/>
    <w:rsid w:val="0079724F"/>
    <w:rsid w:val="00797325"/>
    <w:rsid w:val="0079740E"/>
    <w:rsid w:val="0079763E"/>
    <w:rsid w:val="00797773"/>
    <w:rsid w:val="0079779D"/>
    <w:rsid w:val="00797BE6"/>
    <w:rsid w:val="00797E3E"/>
    <w:rsid w:val="00797FAF"/>
    <w:rsid w:val="00797FF5"/>
    <w:rsid w:val="007A002F"/>
    <w:rsid w:val="007A0325"/>
    <w:rsid w:val="007A042E"/>
    <w:rsid w:val="007A0463"/>
    <w:rsid w:val="007A05FF"/>
    <w:rsid w:val="007A09E0"/>
    <w:rsid w:val="007A0EF9"/>
    <w:rsid w:val="007A11B7"/>
    <w:rsid w:val="007A11C2"/>
    <w:rsid w:val="007A134D"/>
    <w:rsid w:val="007A1771"/>
    <w:rsid w:val="007A180A"/>
    <w:rsid w:val="007A18E8"/>
    <w:rsid w:val="007A19CB"/>
    <w:rsid w:val="007A1B6C"/>
    <w:rsid w:val="007A1DBD"/>
    <w:rsid w:val="007A1DF4"/>
    <w:rsid w:val="007A2033"/>
    <w:rsid w:val="007A2283"/>
    <w:rsid w:val="007A2603"/>
    <w:rsid w:val="007A280A"/>
    <w:rsid w:val="007A2BD7"/>
    <w:rsid w:val="007A2DC3"/>
    <w:rsid w:val="007A2E83"/>
    <w:rsid w:val="007A2F39"/>
    <w:rsid w:val="007A3107"/>
    <w:rsid w:val="007A3585"/>
    <w:rsid w:val="007A35D8"/>
    <w:rsid w:val="007A3774"/>
    <w:rsid w:val="007A37A4"/>
    <w:rsid w:val="007A38B0"/>
    <w:rsid w:val="007A3A4F"/>
    <w:rsid w:val="007A3BD5"/>
    <w:rsid w:val="007A3BE0"/>
    <w:rsid w:val="007A3C29"/>
    <w:rsid w:val="007A3D9F"/>
    <w:rsid w:val="007A3DE2"/>
    <w:rsid w:val="007A3E40"/>
    <w:rsid w:val="007A3E66"/>
    <w:rsid w:val="007A3EF8"/>
    <w:rsid w:val="007A4066"/>
    <w:rsid w:val="007A4105"/>
    <w:rsid w:val="007A4138"/>
    <w:rsid w:val="007A41EA"/>
    <w:rsid w:val="007A4240"/>
    <w:rsid w:val="007A4385"/>
    <w:rsid w:val="007A44EA"/>
    <w:rsid w:val="007A45F2"/>
    <w:rsid w:val="007A46C1"/>
    <w:rsid w:val="007A48C7"/>
    <w:rsid w:val="007A4958"/>
    <w:rsid w:val="007A4B44"/>
    <w:rsid w:val="007A4C9A"/>
    <w:rsid w:val="007A4CE7"/>
    <w:rsid w:val="007A4EA6"/>
    <w:rsid w:val="007A500C"/>
    <w:rsid w:val="007A55F5"/>
    <w:rsid w:val="007A573B"/>
    <w:rsid w:val="007A5A99"/>
    <w:rsid w:val="007A5B0D"/>
    <w:rsid w:val="007A5B26"/>
    <w:rsid w:val="007A5B52"/>
    <w:rsid w:val="007A5C0F"/>
    <w:rsid w:val="007A5E9D"/>
    <w:rsid w:val="007A5F3E"/>
    <w:rsid w:val="007A6027"/>
    <w:rsid w:val="007A60BA"/>
    <w:rsid w:val="007A671C"/>
    <w:rsid w:val="007A67B1"/>
    <w:rsid w:val="007A68E9"/>
    <w:rsid w:val="007A697B"/>
    <w:rsid w:val="007A6DEE"/>
    <w:rsid w:val="007A6E15"/>
    <w:rsid w:val="007A6F25"/>
    <w:rsid w:val="007A7000"/>
    <w:rsid w:val="007A7334"/>
    <w:rsid w:val="007A7426"/>
    <w:rsid w:val="007A74AE"/>
    <w:rsid w:val="007A762E"/>
    <w:rsid w:val="007A763B"/>
    <w:rsid w:val="007A77C3"/>
    <w:rsid w:val="007A7955"/>
    <w:rsid w:val="007A7B2C"/>
    <w:rsid w:val="007A7BE1"/>
    <w:rsid w:val="007A7CC7"/>
    <w:rsid w:val="007A7CE8"/>
    <w:rsid w:val="007A7D94"/>
    <w:rsid w:val="007A7DEE"/>
    <w:rsid w:val="007B0026"/>
    <w:rsid w:val="007B01F1"/>
    <w:rsid w:val="007B0331"/>
    <w:rsid w:val="007B03FD"/>
    <w:rsid w:val="007B05D3"/>
    <w:rsid w:val="007B065B"/>
    <w:rsid w:val="007B0B08"/>
    <w:rsid w:val="007B0D94"/>
    <w:rsid w:val="007B0DFB"/>
    <w:rsid w:val="007B0E3E"/>
    <w:rsid w:val="007B112C"/>
    <w:rsid w:val="007B1B1F"/>
    <w:rsid w:val="007B1CF2"/>
    <w:rsid w:val="007B202D"/>
    <w:rsid w:val="007B207F"/>
    <w:rsid w:val="007B2297"/>
    <w:rsid w:val="007B22EB"/>
    <w:rsid w:val="007B2586"/>
    <w:rsid w:val="007B26E2"/>
    <w:rsid w:val="007B2774"/>
    <w:rsid w:val="007B29D8"/>
    <w:rsid w:val="007B2A09"/>
    <w:rsid w:val="007B2AE3"/>
    <w:rsid w:val="007B2AF0"/>
    <w:rsid w:val="007B2BAC"/>
    <w:rsid w:val="007B2C09"/>
    <w:rsid w:val="007B2C56"/>
    <w:rsid w:val="007B2D4E"/>
    <w:rsid w:val="007B2E05"/>
    <w:rsid w:val="007B35B6"/>
    <w:rsid w:val="007B3644"/>
    <w:rsid w:val="007B36B8"/>
    <w:rsid w:val="007B3730"/>
    <w:rsid w:val="007B37E6"/>
    <w:rsid w:val="007B3836"/>
    <w:rsid w:val="007B39DA"/>
    <w:rsid w:val="007B3BC2"/>
    <w:rsid w:val="007B3BF5"/>
    <w:rsid w:val="007B3CBD"/>
    <w:rsid w:val="007B3D70"/>
    <w:rsid w:val="007B3ED3"/>
    <w:rsid w:val="007B425B"/>
    <w:rsid w:val="007B42BF"/>
    <w:rsid w:val="007B44EC"/>
    <w:rsid w:val="007B48BC"/>
    <w:rsid w:val="007B4A7E"/>
    <w:rsid w:val="007B4A84"/>
    <w:rsid w:val="007B4C4F"/>
    <w:rsid w:val="007B4F34"/>
    <w:rsid w:val="007B4F9A"/>
    <w:rsid w:val="007B532C"/>
    <w:rsid w:val="007B53AD"/>
    <w:rsid w:val="007B553A"/>
    <w:rsid w:val="007B5604"/>
    <w:rsid w:val="007B5626"/>
    <w:rsid w:val="007B59BD"/>
    <w:rsid w:val="007B59D5"/>
    <w:rsid w:val="007B5A05"/>
    <w:rsid w:val="007B5D2F"/>
    <w:rsid w:val="007B609A"/>
    <w:rsid w:val="007B612C"/>
    <w:rsid w:val="007B627C"/>
    <w:rsid w:val="007B62DF"/>
    <w:rsid w:val="007B6456"/>
    <w:rsid w:val="007B650C"/>
    <w:rsid w:val="007B657B"/>
    <w:rsid w:val="007B6851"/>
    <w:rsid w:val="007B6A43"/>
    <w:rsid w:val="007B6C73"/>
    <w:rsid w:val="007B6CC7"/>
    <w:rsid w:val="007B6D01"/>
    <w:rsid w:val="007B704A"/>
    <w:rsid w:val="007B71A3"/>
    <w:rsid w:val="007B71B9"/>
    <w:rsid w:val="007B722F"/>
    <w:rsid w:val="007B724F"/>
    <w:rsid w:val="007B7A62"/>
    <w:rsid w:val="007B7A64"/>
    <w:rsid w:val="007B7AB5"/>
    <w:rsid w:val="007B7AEE"/>
    <w:rsid w:val="007B7B99"/>
    <w:rsid w:val="007B7D79"/>
    <w:rsid w:val="007B7D7F"/>
    <w:rsid w:val="007B7E7B"/>
    <w:rsid w:val="007C00E5"/>
    <w:rsid w:val="007C00EA"/>
    <w:rsid w:val="007C016C"/>
    <w:rsid w:val="007C0485"/>
    <w:rsid w:val="007C0B2D"/>
    <w:rsid w:val="007C0B43"/>
    <w:rsid w:val="007C0B8A"/>
    <w:rsid w:val="007C0DEB"/>
    <w:rsid w:val="007C0E9C"/>
    <w:rsid w:val="007C0EBF"/>
    <w:rsid w:val="007C0F3B"/>
    <w:rsid w:val="007C0F58"/>
    <w:rsid w:val="007C10F3"/>
    <w:rsid w:val="007C1152"/>
    <w:rsid w:val="007C14CF"/>
    <w:rsid w:val="007C15AF"/>
    <w:rsid w:val="007C17EE"/>
    <w:rsid w:val="007C1A81"/>
    <w:rsid w:val="007C1D1E"/>
    <w:rsid w:val="007C2039"/>
    <w:rsid w:val="007C2048"/>
    <w:rsid w:val="007C2262"/>
    <w:rsid w:val="007C25E7"/>
    <w:rsid w:val="007C2639"/>
    <w:rsid w:val="007C2711"/>
    <w:rsid w:val="007C28A0"/>
    <w:rsid w:val="007C2914"/>
    <w:rsid w:val="007C2BAB"/>
    <w:rsid w:val="007C2D3D"/>
    <w:rsid w:val="007C2DE7"/>
    <w:rsid w:val="007C2E65"/>
    <w:rsid w:val="007C31AC"/>
    <w:rsid w:val="007C3501"/>
    <w:rsid w:val="007C350E"/>
    <w:rsid w:val="007C35AE"/>
    <w:rsid w:val="007C35CB"/>
    <w:rsid w:val="007C36C5"/>
    <w:rsid w:val="007C3B1F"/>
    <w:rsid w:val="007C3CEF"/>
    <w:rsid w:val="007C3D4A"/>
    <w:rsid w:val="007C3D6A"/>
    <w:rsid w:val="007C3DC2"/>
    <w:rsid w:val="007C40B3"/>
    <w:rsid w:val="007C421F"/>
    <w:rsid w:val="007C42A1"/>
    <w:rsid w:val="007C4498"/>
    <w:rsid w:val="007C464B"/>
    <w:rsid w:val="007C46FA"/>
    <w:rsid w:val="007C4747"/>
    <w:rsid w:val="007C4886"/>
    <w:rsid w:val="007C49E5"/>
    <w:rsid w:val="007C4A00"/>
    <w:rsid w:val="007C4C79"/>
    <w:rsid w:val="007C5027"/>
    <w:rsid w:val="007C505C"/>
    <w:rsid w:val="007C517B"/>
    <w:rsid w:val="007C531E"/>
    <w:rsid w:val="007C531F"/>
    <w:rsid w:val="007C54AE"/>
    <w:rsid w:val="007C5867"/>
    <w:rsid w:val="007C5991"/>
    <w:rsid w:val="007C5A74"/>
    <w:rsid w:val="007C5C98"/>
    <w:rsid w:val="007C620F"/>
    <w:rsid w:val="007C6774"/>
    <w:rsid w:val="007C69B9"/>
    <w:rsid w:val="007C6BF3"/>
    <w:rsid w:val="007C6CF0"/>
    <w:rsid w:val="007C6D58"/>
    <w:rsid w:val="007C6DB9"/>
    <w:rsid w:val="007C6E6B"/>
    <w:rsid w:val="007C6F28"/>
    <w:rsid w:val="007C6F53"/>
    <w:rsid w:val="007C70EC"/>
    <w:rsid w:val="007C715F"/>
    <w:rsid w:val="007C7167"/>
    <w:rsid w:val="007C71F5"/>
    <w:rsid w:val="007C724E"/>
    <w:rsid w:val="007C7391"/>
    <w:rsid w:val="007C74E9"/>
    <w:rsid w:val="007C7784"/>
    <w:rsid w:val="007C78F0"/>
    <w:rsid w:val="007C7F33"/>
    <w:rsid w:val="007C7F79"/>
    <w:rsid w:val="007D0302"/>
    <w:rsid w:val="007D04BE"/>
    <w:rsid w:val="007D0576"/>
    <w:rsid w:val="007D0599"/>
    <w:rsid w:val="007D0CCD"/>
    <w:rsid w:val="007D0F5B"/>
    <w:rsid w:val="007D11E8"/>
    <w:rsid w:val="007D1228"/>
    <w:rsid w:val="007D17CB"/>
    <w:rsid w:val="007D18D0"/>
    <w:rsid w:val="007D1D02"/>
    <w:rsid w:val="007D1D5C"/>
    <w:rsid w:val="007D1D92"/>
    <w:rsid w:val="007D1EC0"/>
    <w:rsid w:val="007D1EE3"/>
    <w:rsid w:val="007D1FBB"/>
    <w:rsid w:val="007D2183"/>
    <w:rsid w:val="007D22F8"/>
    <w:rsid w:val="007D240A"/>
    <w:rsid w:val="007D25A4"/>
    <w:rsid w:val="007D268D"/>
    <w:rsid w:val="007D26C3"/>
    <w:rsid w:val="007D2BE2"/>
    <w:rsid w:val="007D2C37"/>
    <w:rsid w:val="007D2E73"/>
    <w:rsid w:val="007D2F3E"/>
    <w:rsid w:val="007D2FB0"/>
    <w:rsid w:val="007D300E"/>
    <w:rsid w:val="007D3492"/>
    <w:rsid w:val="007D3551"/>
    <w:rsid w:val="007D35EF"/>
    <w:rsid w:val="007D3674"/>
    <w:rsid w:val="007D3800"/>
    <w:rsid w:val="007D3A3B"/>
    <w:rsid w:val="007D3CEE"/>
    <w:rsid w:val="007D4095"/>
    <w:rsid w:val="007D411A"/>
    <w:rsid w:val="007D42B6"/>
    <w:rsid w:val="007D42ED"/>
    <w:rsid w:val="007D44B9"/>
    <w:rsid w:val="007D454B"/>
    <w:rsid w:val="007D456B"/>
    <w:rsid w:val="007D46C8"/>
    <w:rsid w:val="007D4701"/>
    <w:rsid w:val="007D482A"/>
    <w:rsid w:val="007D48A1"/>
    <w:rsid w:val="007D499D"/>
    <w:rsid w:val="007D4A12"/>
    <w:rsid w:val="007D4B3E"/>
    <w:rsid w:val="007D4BFB"/>
    <w:rsid w:val="007D4C5C"/>
    <w:rsid w:val="007D4C9E"/>
    <w:rsid w:val="007D4F93"/>
    <w:rsid w:val="007D5420"/>
    <w:rsid w:val="007D54E3"/>
    <w:rsid w:val="007D555B"/>
    <w:rsid w:val="007D55A5"/>
    <w:rsid w:val="007D581F"/>
    <w:rsid w:val="007D58CA"/>
    <w:rsid w:val="007D59F6"/>
    <w:rsid w:val="007D5A5D"/>
    <w:rsid w:val="007D5BDC"/>
    <w:rsid w:val="007D5CF6"/>
    <w:rsid w:val="007D5E41"/>
    <w:rsid w:val="007D5FB2"/>
    <w:rsid w:val="007D6120"/>
    <w:rsid w:val="007D6148"/>
    <w:rsid w:val="007D633B"/>
    <w:rsid w:val="007D6355"/>
    <w:rsid w:val="007D637D"/>
    <w:rsid w:val="007D6580"/>
    <w:rsid w:val="007D65C4"/>
    <w:rsid w:val="007D678A"/>
    <w:rsid w:val="007D67B0"/>
    <w:rsid w:val="007D6B94"/>
    <w:rsid w:val="007D6DA8"/>
    <w:rsid w:val="007D6F98"/>
    <w:rsid w:val="007D707A"/>
    <w:rsid w:val="007D7268"/>
    <w:rsid w:val="007D73D5"/>
    <w:rsid w:val="007D7550"/>
    <w:rsid w:val="007D7589"/>
    <w:rsid w:val="007D7659"/>
    <w:rsid w:val="007D7736"/>
    <w:rsid w:val="007D7A26"/>
    <w:rsid w:val="007D7B47"/>
    <w:rsid w:val="007D7CE6"/>
    <w:rsid w:val="007D7DA9"/>
    <w:rsid w:val="007D7E2B"/>
    <w:rsid w:val="007D7E9B"/>
    <w:rsid w:val="007E00D6"/>
    <w:rsid w:val="007E0173"/>
    <w:rsid w:val="007E0314"/>
    <w:rsid w:val="007E03A7"/>
    <w:rsid w:val="007E0410"/>
    <w:rsid w:val="007E07A1"/>
    <w:rsid w:val="007E07EB"/>
    <w:rsid w:val="007E07F6"/>
    <w:rsid w:val="007E0D89"/>
    <w:rsid w:val="007E0E2D"/>
    <w:rsid w:val="007E0FED"/>
    <w:rsid w:val="007E10DD"/>
    <w:rsid w:val="007E111E"/>
    <w:rsid w:val="007E1239"/>
    <w:rsid w:val="007E14D8"/>
    <w:rsid w:val="007E1588"/>
    <w:rsid w:val="007E1620"/>
    <w:rsid w:val="007E1660"/>
    <w:rsid w:val="007E16EA"/>
    <w:rsid w:val="007E182B"/>
    <w:rsid w:val="007E1C8C"/>
    <w:rsid w:val="007E210E"/>
    <w:rsid w:val="007E2494"/>
    <w:rsid w:val="007E253D"/>
    <w:rsid w:val="007E25AA"/>
    <w:rsid w:val="007E26C0"/>
    <w:rsid w:val="007E2728"/>
    <w:rsid w:val="007E2995"/>
    <w:rsid w:val="007E2A76"/>
    <w:rsid w:val="007E2A7F"/>
    <w:rsid w:val="007E2BDE"/>
    <w:rsid w:val="007E2C8D"/>
    <w:rsid w:val="007E310C"/>
    <w:rsid w:val="007E328B"/>
    <w:rsid w:val="007E33F5"/>
    <w:rsid w:val="007E3437"/>
    <w:rsid w:val="007E35BE"/>
    <w:rsid w:val="007E36CE"/>
    <w:rsid w:val="007E3838"/>
    <w:rsid w:val="007E386C"/>
    <w:rsid w:val="007E3B91"/>
    <w:rsid w:val="007E3D33"/>
    <w:rsid w:val="007E408F"/>
    <w:rsid w:val="007E41CA"/>
    <w:rsid w:val="007E42DE"/>
    <w:rsid w:val="007E44BC"/>
    <w:rsid w:val="007E4511"/>
    <w:rsid w:val="007E4541"/>
    <w:rsid w:val="007E458E"/>
    <w:rsid w:val="007E468B"/>
    <w:rsid w:val="007E46DD"/>
    <w:rsid w:val="007E4865"/>
    <w:rsid w:val="007E48AC"/>
    <w:rsid w:val="007E4C4F"/>
    <w:rsid w:val="007E4E4F"/>
    <w:rsid w:val="007E4FAA"/>
    <w:rsid w:val="007E5145"/>
    <w:rsid w:val="007E5213"/>
    <w:rsid w:val="007E5312"/>
    <w:rsid w:val="007E5353"/>
    <w:rsid w:val="007E539D"/>
    <w:rsid w:val="007E53BF"/>
    <w:rsid w:val="007E54A5"/>
    <w:rsid w:val="007E5590"/>
    <w:rsid w:val="007E58AA"/>
    <w:rsid w:val="007E5B45"/>
    <w:rsid w:val="007E5D43"/>
    <w:rsid w:val="007E5E04"/>
    <w:rsid w:val="007E5E2D"/>
    <w:rsid w:val="007E5FE1"/>
    <w:rsid w:val="007E624B"/>
    <w:rsid w:val="007E62BC"/>
    <w:rsid w:val="007E6569"/>
    <w:rsid w:val="007E6610"/>
    <w:rsid w:val="007E6755"/>
    <w:rsid w:val="007E6886"/>
    <w:rsid w:val="007E6A77"/>
    <w:rsid w:val="007E6AEB"/>
    <w:rsid w:val="007E6B35"/>
    <w:rsid w:val="007E6B52"/>
    <w:rsid w:val="007E6C65"/>
    <w:rsid w:val="007E6CE2"/>
    <w:rsid w:val="007E71EA"/>
    <w:rsid w:val="007E7279"/>
    <w:rsid w:val="007E7549"/>
    <w:rsid w:val="007E7583"/>
    <w:rsid w:val="007E7590"/>
    <w:rsid w:val="007E77AC"/>
    <w:rsid w:val="007E79CC"/>
    <w:rsid w:val="007E7BE2"/>
    <w:rsid w:val="007F0009"/>
    <w:rsid w:val="007F00DA"/>
    <w:rsid w:val="007F0220"/>
    <w:rsid w:val="007F055C"/>
    <w:rsid w:val="007F07A3"/>
    <w:rsid w:val="007F0992"/>
    <w:rsid w:val="007F0A1F"/>
    <w:rsid w:val="007F0B9B"/>
    <w:rsid w:val="007F0BDC"/>
    <w:rsid w:val="007F0BDF"/>
    <w:rsid w:val="007F0EB1"/>
    <w:rsid w:val="007F0FA3"/>
    <w:rsid w:val="007F10D7"/>
    <w:rsid w:val="007F1286"/>
    <w:rsid w:val="007F14EA"/>
    <w:rsid w:val="007F14F5"/>
    <w:rsid w:val="007F173A"/>
    <w:rsid w:val="007F175C"/>
    <w:rsid w:val="007F197A"/>
    <w:rsid w:val="007F1A71"/>
    <w:rsid w:val="007F1AF9"/>
    <w:rsid w:val="007F1E4E"/>
    <w:rsid w:val="007F1E60"/>
    <w:rsid w:val="007F1EC8"/>
    <w:rsid w:val="007F1FAE"/>
    <w:rsid w:val="007F2132"/>
    <w:rsid w:val="007F2235"/>
    <w:rsid w:val="007F22BE"/>
    <w:rsid w:val="007F23B0"/>
    <w:rsid w:val="007F241F"/>
    <w:rsid w:val="007F242C"/>
    <w:rsid w:val="007F2508"/>
    <w:rsid w:val="007F2AB6"/>
    <w:rsid w:val="007F2C2D"/>
    <w:rsid w:val="007F2E4D"/>
    <w:rsid w:val="007F2F73"/>
    <w:rsid w:val="007F31FF"/>
    <w:rsid w:val="007F3456"/>
    <w:rsid w:val="007F362D"/>
    <w:rsid w:val="007F36D5"/>
    <w:rsid w:val="007F3895"/>
    <w:rsid w:val="007F393D"/>
    <w:rsid w:val="007F39EC"/>
    <w:rsid w:val="007F3A9C"/>
    <w:rsid w:val="007F3B07"/>
    <w:rsid w:val="007F3CA0"/>
    <w:rsid w:val="007F3CBB"/>
    <w:rsid w:val="007F3EF8"/>
    <w:rsid w:val="007F3FF1"/>
    <w:rsid w:val="007F40A2"/>
    <w:rsid w:val="007F4115"/>
    <w:rsid w:val="007F4178"/>
    <w:rsid w:val="007F4237"/>
    <w:rsid w:val="007F457F"/>
    <w:rsid w:val="007F4654"/>
    <w:rsid w:val="007F4672"/>
    <w:rsid w:val="007F4706"/>
    <w:rsid w:val="007F4A79"/>
    <w:rsid w:val="007F4D89"/>
    <w:rsid w:val="007F4E1D"/>
    <w:rsid w:val="007F4FCB"/>
    <w:rsid w:val="007F5112"/>
    <w:rsid w:val="007F531D"/>
    <w:rsid w:val="007F546C"/>
    <w:rsid w:val="007F5646"/>
    <w:rsid w:val="007F5AB6"/>
    <w:rsid w:val="007F5B84"/>
    <w:rsid w:val="007F5D73"/>
    <w:rsid w:val="007F5E1E"/>
    <w:rsid w:val="007F5E4F"/>
    <w:rsid w:val="007F60D7"/>
    <w:rsid w:val="007F61D8"/>
    <w:rsid w:val="007F6241"/>
    <w:rsid w:val="007F6337"/>
    <w:rsid w:val="007F6592"/>
    <w:rsid w:val="007F67CE"/>
    <w:rsid w:val="007F6A41"/>
    <w:rsid w:val="007F6A61"/>
    <w:rsid w:val="007F6B32"/>
    <w:rsid w:val="007F6CEC"/>
    <w:rsid w:val="007F6F3D"/>
    <w:rsid w:val="007F71E9"/>
    <w:rsid w:val="007F7285"/>
    <w:rsid w:val="007F737F"/>
    <w:rsid w:val="007F74C9"/>
    <w:rsid w:val="007F7527"/>
    <w:rsid w:val="007F7644"/>
    <w:rsid w:val="007F7684"/>
    <w:rsid w:val="007F7CF0"/>
    <w:rsid w:val="007F7D00"/>
    <w:rsid w:val="007F7D2A"/>
    <w:rsid w:val="007F7E9D"/>
    <w:rsid w:val="007F7EB5"/>
    <w:rsid w:val="007F7EC5"/>
    <w:rsid w:val="007F7ECB"/>
    <w:rsid w:val="007F7F07"/>
    <w:rsid w:val="00800092"/>
    <w:rsid w:val="008000B0"/>
    <w:rsid w:val="008001F6"/>
    <w:rsid w:val="008002E1"/>
    <w:rsid w:val="00800452"/>
    <w:rsid w:val="00800536"/>
    <w:rsid w:val="00800547"/>
    <w:rsid w:val="0080064E"/>
    <w:rsid w:val="008008AB"/>
    <w:rsid w:val="00800D43"/>
    <w:rsid w:val="00800EB6"/>
    <w:rsid w:val="00801138"/>
    <w:rsid w:val="00801286"/>
    <w:rsid w:val="008014F4"/>
    <w:rsid w:val="0080168B"/>
    <w:rsid w:val="0080190B"/>
    <w:rsid w:val="00801A3A"/>
    <w:rsid w:val="00801B60"/>
    <w:rsid w:val="00801CF1"/>
    <w:rsid w:val="00801DB8"/>
    <w:rsid w:val="00801F29"/>
    <w:rsid w:val="0080200A"/>
    <w:rsid w:val="00802160"/>
    <w:rsid w:val="00802439"/>
    <w:rsid w:val="00802812"/>
    <w:rsid w:val="0080292B"/>
    <w:rsid w:val="00802DA5"/>
    <w:rsid w:val="00802E29"/>
    <w:rsid w:val="00802FCE"/>
    <w:rsid w:val="00803093"/>
    <w:rsid w:val="008032F4"/>
    <w:rsid w:val="00803724"/>
    <w:rsid w:val="0080383D"/>
    <w:rsid w:val="00803B3B"/>
    <w:rsid w:val="00803BCD"/>
    <w:rsid w:val="00803C4C"/>
    <w:rsid w:val="00803C8F"/>
    <w:rsid w:val="00803E66"/>
    <w:rsid w:val="0080456D"/>
    <w:rsid w:val="0080463E"/>
    <w:rsid w:val="00804707"/>
    <w:rsid w:val="0080485D"/>
    <w:rsid w:val="008048A5"/>
    <w:rsid w:val="008048F5"/>
    <w:rsid w:val="008048FD"/>
    <w:rsid w:val="00804A14"/>
    <w:rsid w:val="00804B98"/>
    <w:rsid w:val="00804BBF"/>
    <w:rsid w:val="00804F81"/>
    <w:rsid w:val="00804FF9"/>
    <w:rsid w:val="00805092"/>
    <w:rsid w:val="0080526B"/>
    <w:rsid w:val="0080530D"/>
    <w:rsid w:val="008055D5"/>
    <w:rsid w:val="0080584F"/>
    <w:rsid w:val="0080589C"/>
    <w:rsid w:val="00805EF0"/>
    <w:rsid w:val="00805EF3"/>
    <w:rsid w:val="00806081"/>
    <w:rsid w:val="00806268"/>
    <w:rsid w:val="00806995"/>
    <w:rsid w:val="00806BA9"/>
    <w:rsid w:val="0080742F"/>
    <w:rsid w:val="008074B0"/>
    <w:rsid w:val="0080750C"/>
    <w:rsid w:val="00807621"/>
    <w:rsid w:val="008077A3"/>
    <w:rsid w:val="00807A50"/>
    <w:rsid w:val="00807B70"/>
    <w:rsid w:val="00807B9F"/>
    <w:rsid w:val="00807CC6"/>
    <w:rsid w:val="00807D65"/>
    <w:rsid w:val="00807F4F"/>
    <w:rsid w:val="00810185"/>
    <w:rsid w:val="008101DF"/>
    <w:rsid w:val="0081033B"/>
    <w:rsid w:val="008103FE"/>
    <w:rsid w:val="0081042C"/>
    <w:rsid w:val="008104E5"/>
    <w:rsid w:val="00810903"/>
    <w:rsid w:val="00810A8F"/>
    <w:rsid w:val="00810E54"/>
    <w:rsid w:val="00810F26"/>
    <w:rsid w:val="00811151"/>
    <w:rsid w:val="0081136D"/>
    <w:rsid w:val="008113F3"/>
    <w:rsid w:val="0081158D"/>
    <w:rsid w:val="008118A8"/>
    <w:rsid w:val="00811DA7"/>
    <w:rsid w:val="008120A4"/>
    <w:rsid w:val="0081239E"/>
    <w:rsid w:val="00812764"/>
    <w:rsid w:val="0081283A"/>
    <w:rsid w:val="008128D5"/>
    <w:rsid w:val="00812AB3"/>
    <w:rsid w:val="00812B68"/>
    <w:rsid w:val="00812BA0"/>
    <w:rsid w:val="00812C4E"/>
    <w:rsid w:val="00812CFD"/>
    <w:rsid w:val="00812EF3"/>
    <w:rsid w:val="00813186"/>
    <w:rsid w:val="008133DF"/>
    <w:rsid w:val="008134EF"/>
    <w:rsid w:val="0081352C"/>
    <w:rsid w:val="00813608"/>
    <w:rsid w:val="00813771"/>
    <w:rsid w:val="00813E10"/>
    <w:rsid w:val="00814358"/>
    <w:rsid w:val="0081443D"/>
    <w:rsid w:val="008144CF"/>
    <w:rsid w:val="00814556"/>
    <w:rsid w:val="008146FD"/>
    <w:rsid w:val="00814723"/>
    <w:rsid w:val="0081487C"/>
    <w:rsid w:val="008149C3"/>
    <w:rsid w:val="00814A2C"/>
    <w:rsid w:val="00814AA2"/>
    <w:rsid w:val="00814DA9"/>
    <w:rsid w:val="00815163"/>
    <w:rsid w:val="008151FF"/>
    <w:rsid w:val="00815458"/>
    <w:rsid w:val="0081556C"/>
    <w:rsid w:val="00815671"/>
    <w:rsid w:val="008156BB"/>
    <w:rsid w:val="008156D8"/>
    <w:rsid w:val="00815AD1"/>
    <w:rsid w:val="00815B64"/>
    <w:rsid w:val="00815B98"/>
    <w:rsid w:val="00815BC3"/>
    <w:rsid w:val="00815E4E"/>
    <w:rsid w:val="00815EA4"/>
    <w:rsid w:val="00816637"/>
    <w:rsid w:val="008166E5"/>
    <w:rsid w:val="008167BB"/>
    <w:rsid w:val="00816E1A"/>
    <w:rsid w:val="00816E39"/>
    <w:rsid w:val="00816E78"/>
    <w:rsid w:val="00816F6D"/>
    <w:rsid w:val="00817166"/>
    <w:rsid w:val="00817352"/>
    <w:rsid w:val="00817538"/>
    <w:rsid w:val="00817630"/>
    <w:rsid w:val="0081778E"/>
    <w:rsid w:val="00817796"/>
    <w:rsid w:val="008178C3"/>
    <w:rsid w:val="008178D3"/>
    <w:rsid w:val="00817A11"/>
    <w:rsid w:val="00817AEE"/>
    <w:rsid w:val="00817DF5"/>
    <w:rsid w:val="00817F25"/>
    <w:rsid w:val="0082003E"/>
    <w:rsid w:val="00820071"/>
    <w:rsid w:val="00820230"/>
    <w:rsid w:val="00820495"/>
    <w:rsid w:val="0082049A"/>
    <w:rsid w:val="008204B0"/>
    <w:rsid w:val="008204B6"/>
    <w:rsid w:val="008204DD"/>
    <w:rsid w:val="008205E5"/>
    <w:rsid w:val="00820647"/>
    <w:rsid w:val="00820EF3"/>
    <w:rsid w:val="00820FF7"/>
    <w:rsid w:val="0082121D"/>
    <w:rsid w:val="008213B2"/>
    <w:rsid w:val="0082142F"/>
    <w:rsid w:val="008214F0"/>
    <w:rsid w:val="00821653"/>
    <w:rsid w:val="008219BC"/>
    <w:rsid w:val="008219E0"/>
    <w:rsid w:val="00821C95"/>
    <w:rsid w:val="00821DDE"/>
    <w:rsid w:val="00821F46"/>
    <w:rsid w:val="00821FDA"/>
    <w:rsid w:val="00822114"/>
    <w:rsid w:val="00822218"/>
    <w:rsid w:val="00822324"/>
    <w:rsid w:val="008226E5"/>
    <w:rsid w:val="008228EA"/>
    <w:rsid w:val="00822B4E"/>
    <w:rsid w:val="00822FC8"/>
    <w:rsid w:val="008231FE"/>
    <w:rsid w:val="00823622"/>
    <w:rsid w:val="008236A7"/>
    <w:rsid w:val="00823708"/>
    <w:rsid w:val="008238F7"/>
    <w:rsid w:val="00823900"/>
    <w:rsid w:val="0082395D"/>
    <w:rsid w:val="00823AD2"/>
    <w:rsid w:val="00823AF1"/>
    <w:rsid w:val="00823DC2"/>
    <w:rsid w:val="00823E81"/>
    <w:rsid w:val="00823F2C"/>
    <w:rsid w:val="00824091"/>
    <w:rsid w:val="008241A1"/>
    <w:rsid w:val="00824410"/>
    <w:rsid w:val="0082462F"/>
    <w:rsid w:val="00824721"/>
    <w:rsid w:val="00824736"/>
    <w:rsid w:val="00824865"/>
    <w:rsid w:val="008249A2"/>
    <w:rsid w:val="00824A87"/>
    <w:rsid w:val="00824A88"/>
    <w:rsid w:val="00824C81"/>
    <w:rsid w:val="00824D13"/>
    <w:rsid w:val="00824D59"/>
    <w:rsid w:val="00824E3C"/>
    <w:rsid w:val="00824E61"/>
    <w:rsid w:val="00824F84"/>
    <w:rsid w:val="00825125"/>
    <w:rsid w:val="00825338"/>
    <w:rsid w:val="00825476"/>
    <w:rsid w:val="008254B2"/>
    <w:rsid w:val="00825515"/>
    <w:rsid w:val="008255CC"/>
    <w:rsid w:val="00825620"/>
    <w:rsid w:val="00825680"/>
    <w:rsid w:val="00825992"/>
    <w:rsid w:val="008259AC"/>
    <w:rsid w:val="00825A42"/>
    <w:rsid w:val="00825AB6"/>
    <w:rsid w:val="00825B6A"/>
    <w:rsid w:val="00825D9F"/>
    <w:rsid w:val="00825DB1"/>
    <w:rsid w:val="00825DDE"/>
    <w:rsid w:val="00825DDF"/>
    <w:rsid w:val="00826207"/>
    <w:rsid w:val="008263B0"/>
    <w:rsid w:val="008263E0"/>
    <w:rsid w:val="008264A9"/>
    <w:rsid w:val="008264D8"/>
    <w:rsid w:val="00826961"/>
    <w:rsid w:val="00826AAA"/>
    <w:rsid w:val="00826BE1"/>
    <w:rsid w:val="00826E27"/>
    <w:rsid w:val="00827174"/>
    <w:rsid w:val="00827218"/>
    <w:rsid w:val="00827538"/>
    <w:rsid w:val="008276E9"/>
    <w:rsid w:val="00827754"/>
    <w:rsid w:val="0082778A"/>
    <w:rsid w:val="008277F6"/>
    <w:rsid w:val="00827AE1"/>
    <w:rsid w:val="00827C87"/>
    <w:rsid w:val="00827E0F"/>
    <w:rsid w:val="008302CE"/>
    <w:rsid w:val="00830349"/>
    <w:rsid w:val="00830A06"/>
    <w:rsid w:val="00830C7B"/>
    <w:rsid w:val="00830CF2"/>
    <w:rsid w:val="00830D4D"/>
    <w:rsid w:val="00830FCD"/>
    <w:rsid w:val="00830FE1"/>
    <w:rsid w:val="008311CA"/>
    <w:rsid w:val="008311EF"/>
    <w:rsid w:val="00831222"/>
    <w:rsid w:val="00831390"/>
    <w:rsid w:val="008313EF"/>
    <w:rsid w:val="0083145F"/>
    <w:rsid w:val="0083150A"/>
    <w:rsid w:val="00831626"/>
    <w:rsid w:val="00831750"/>
    <w:rsid w:val="0083182B"/>
    <w:rsid w:val="008319A8"/>
    <w:rsid w:val="00831A92"/>
    <w:rsid w:val="00831AED"/>
    <w:rsid w:val="00831C56"/>
    <w:rsid w:val="00831DB7"/>
    <w:rsid w:val="00831E75"/>
    <w:rsid w:val="00831F29"/>
    <w:rsid w:val="00831FB4"/>
    <w:rsid w:val="008320B6"/>
    <w:rsid w:val="0083214A"/>
    <w:rsid w:val="00832158"/>
    <w:rsid w:val="0083221E"/>
    <w:rsid w:val="008322B9"/>
    <w:rsid w:val="008322C1"/>
    <w:rsid w:val="00832B48"/>
    <w:rsid w:val="00832CC8"/>
    <w:rsid w:val="00832DB4"/>
    <w:rsid w:val="00832FD3"/>
    <w:rsid w:val="0083321B"/>
    <w:rsid w:val="00833431"/>
    <w:rsid w:val="008336DC"/>
    <w:rsid w:val="00833963"/>
    <w:rsid w:val="008339D0"/>
    <w:rsid w:val="00833C3E"/>
    <w:rsid w:val="00833C6C"/>
    <w:rsid w:val="00833C6D"/>
    <w:rsid w:val="00833C70"/>
    <w:rsid w:val="00833D14"/>
    <w:rsid w:val="00833D95"/>
    <w:rsid w:val="00833E74"/>
    <w:rsid w:val="0083403A"/>
    <w:rsid w:val="0083409F"/>
    <w:rsid w:val="00834242"/>
    <w:rsid w:val="008346AF"/>
    <w:rsid w:val="008347A2"/>
    <w:rsid w:val="0083483E"/>
    <w:rsid w:val="008348AC"/>
    <w:rsid w:val="00834A10"/>
    <w:rsid w:val="00834C39"/>
    <w:rsid w:val="00834D17"/>
    <w:rsid w:val="00834D44"/>
    <w:rsid w:val="00834F05"/>
    <w:rsid w:val="00834F6B"/>
    <w:rsid w:val="0083501A"/>
    <w:rsid w:val="00835393"/>
    <w:rsid w:val="00835443"/>
    <w:rsid w:val="0083549C"/>
    <w:rsid w:val="00835782"/>
    <w:rsid w:val="00835A08"/>
    <w:rsid w:val="00835A86"/>
    <w:rsid w:val="00835AE6"/>
    <w:rsid w:val="00835B6B"/>
    <w:rsid w:val="00835BFD"/>
    <w:rsid w:val="00835D6B"/>
    <w:rsid w:val="00835F49"/>
    <w:rsid w:val="00836085"/>
    <w:rsid w:val="008360B3"/>
    <w:rsid w:val="0083625D"/>
    <w:rsid w:val="0083627B"/>
    <w:rsid w:val="008365CB"/>
    <w:rsid w:val="00836663"/>
    <w:rsid w:val="0083669C"/>
    <w:rsid w:val="0083677D"/>
    <w:rsid w:val="00836943"/>
    <w:rsid w:val="00836953"/>
    <w:rsid w:val="00836E37"/>
    <w:rsid w:val="00836F5A"/>
    <w:rsid w:val="0083713E"/>
    <w:rsid w:val="00837207"/>
    <w:rsid w:val="0083721F"/>
    <w:rsid w:val="00837420"/>
    <w:rsid w:val="0083790C"/>
    <w:rsid w:val="00837A10"/>
    <w:rsid w:val="00837B02"/>
    <w:rsid w:val="00837DA4"/>
    <w:rsid w:val="00837DF6"/>
    <w:rsid w:val="00837EBB"/>
    <w:rsid w:val="00837FAE"/>
    <w:rsid w:val="0084001E"/>
    <w:rsid w:val="00840192"/>
    <w:rsid w:val="008402F2"/>
    <w:rsid w:val="008403EA"/>
    <w:rsid w:val="00840426"/>
    <w:rsid w:val="0084046C"/>
    <w:rsid w:val="0084053D"/>
    <w:rsid w:val="00840573"/>
    <w:rsid w:val="008405F1"/>
    <w:rsid w:val="00840650"/>
    <w:rsid w:val="008406F2"/>
    <w:rsid w:val="0084077F"/>
    <w:rsid w:val="00840936"/>
    <w:rsid w:val="00840BE2"/>
    <w:rsid w:val="00840E24"/>
    <w:rsid w:val="00841153"/>
    <w:rsid w:val="008414B4"/>
    <w:rsid w:val="00841692"/>
    <w:rsid w:val="00841A0F"/>
    <w:rsid w:val="00841A35"/>
    <w:rsid w:val="00841CF4"/>
    <w:rsid w:val="00841D19"/>
    <w:rsid w:val="00841E00"/>
    <w:rsid w:val="00841E4D"/>
    <w:rsid w:val="00841F4B"/>
    <w:rsid w:val="00841FB1"/>
    <w:rsid w:val="008420E3"/>
    <w:rsid w:val="00842315"/>
    <w:rsid w:val="008425CE"/>
    <w:rsid w:val="008426B3"/>
    <w:rsid w:val="00842CBB"/>
    <w:rsid w:val="00842CC5"/>
    <w:rsid w:val="00842F56"/>
    <w:rsid w:val="00842FB6"/>
    <w:rsid w:val="008430B9"/>
    <w:rsid w:val="00843424"/>
    <w:rsid w:val="0084375A"/>
    <w:rsid w:val="0084392B"/>
    <w:rsid w:val="00843978"/>
    <w:rsid w:val="00843A4C"/>
    <w:rsid w:val="00843BA0"/>
    <w:rsid w:val="00843D4C"/>
    <w:rsid w:val="00843ED9"/>
    <w:rsid w:val="008440B0"/>
    <w:rsid w:val="00844525"/>
    <w:rsid w:val="00844725"/>
    <w:rsid w:val="00844728"/>
    <w:rsid w:val="00844B83"/>
    <w:rsid w:val="00844CF6"/>
    <w:rsid w:val="00844DB8"/>
    <w:rsid w:val="0084500B"/>
    <w:rsid w:val="008450F0"/>
    <w:rsid w:val="008451B2"/>
    <w:rsid w:val="00845341"/>
    <w:rsid w:val="00845768"/>
    <w:rsid w:val="00845876"/>
    <w:rsid w:val="00845963"/>
    <w:rsid w:val="008459CB"/>
    <w:rsid w:val="00845A3D"/>
    <w:rsid w:val="00845A5A"/>
    <w:rsid w:val="00845A67"/>
    <w:rsid w:val="00845C0E"/>
    <w:rsid w:val="00845C8E"/>
    <w:rsid w:val="00845CDC"/>
    <w:rsid w:val="00845ED7"/>
    <w:rsid w:val="00845F33"/>
    <w:rsid w:val="00845F66"/>
    <w:rsid w:val="00845FDA"/>
    <w:rsid w:val="008462B1"/>
    <w:rsid w:val="008462C5"/>
    <w:rsid w:val="00846371"/>
    <w:rsid w:val="008464B8"/>
    <w:rsid w:val="0084654D"/>
    <w:rsid w:val="008465A7"/>
    <w:rsid w:val="0084660C"/>
    <w:rsid w:val="00846786"/>
    <w:rsid w:val="008468D2"/>
    <w:rsid w:val="00846934"/>
    <w:rsid w:val="00846A06"/>
    <w:rsid w:val="00846AAF"/>
    <w:rsid w:val="00846B9A"/>
    <w:rsid w:val="00846CBD"/>
    <w:rsid w:val="008471EB"/>
    <w:rsid w:val="00847214"/>
    <w:rsid w:val="00847224"/>
    <w:rsid w:val="0084769A"/>
    <w:rsid w:val="008479FB"/>
    <w:rsid w:val="00847BFE"/>
    <w:rsid w:val="00847C86"/>
    <w:rsid w:val="00847C98"/>
    <w:rsid w:val="00847DA5"/>
    <w:rsid w:val="00847E1D"/>
    <w:rsid w:val="00847F20"/>
    <w:rsid w:val="00847FB6"/>
    <w:rsid w:val="0085002A"/>
    <w:rsid w:val="0085003D"/>
    <w:rsid w:val="008506D1"/>
    <w:rsid w:val="008506D8"/>
    <w:rsid w:val="008508B3"/>
    <w:rsid w:val="0085093B"/>
    <w:rsid w:val="00850957"/>
    <w:rsid w:val="00850AC2"/>
    <w:rsid w:val="00850ADF"/>
    <w:rsid w:val="00850AE2"/>
    <w:rsid w:val="00850AFA"/>
    <w:rsid w:val="00850B09"/>
    <w:rsid w:val="00850C83"/>
    <w:rsid w:val="00850F23"/>
    <w:rsid w:val="00850FB9"/>
    <w:rsid w:val="008511E6"/>
    <w:rsid w:val="0085123A"/>
    <w:rsid w:val="008513B0"/>
    <w:rsid w:val="00851485"/>
    <w:rsid w:val="008515FF"/>
    <w:rsid w:val="008519ED"/>
    <w:rsid w:val="00851D27"/>
    <w:rsid w:val="00851D4A"/>
    <w:rsid w:val="00851EFF"/>
    <w:rsid w:val="0085200B"/>
    <w:rsid w:val="008522DC"/>
    <w:rsid w:val="00852330"/>
    <w:rsid w:val="0085252C"/>
    <w:rsid w:val="008525F7"/>
    <w:rsid w:val="0085264F"/>
    <w:rsid w:val="00852918"/>
    <w:rsid w:val="00852ABF"/>
    <w:rsid w:val="00852AEE"/>
    <w:rsid w:val="00852B51"/>
    <w:rsid w:val="00852DC6"/>
    <w:rsid w:val="00852DDF"/>
    <w:rsid w:val="00852F40"/>
    <w:rsid w:val="00852FAA"/>
    <w:rsid w:val="00853061"/>
    <w:rsid w:val="00853186"/>
    <w:rsid w:val="00853418"/>
    <w:rsid w:val="0085356D"/>
    <w:rsid w:val="0085365A"/>
    <w:rsid w:val="00853683"/>
    <w:rsid w:val="00853753"/>
    <w:rsid w:val="0085395D"/>
    <w:rsid w:val="00853B32"/>
    <w:rsid w:val="00854098"/>
    <w:rsid w:val="008540CE"/>
    <w:rsid w:val="008541C2"/>
    <w:rsid w:val="0085450E"/>
    <w:rsid w:val="0085450F"/>
    <w:rsid w:val="00854519"/>
    <w:rsid w:val="0085479C"/>
    <w:rsid w:val="0085479F"/>
    <w:rsid w:val="00854893"/>
    <w:rsid w:val="00854B2B"/>
    <w:rsid w:val="00854BDD"/>
    <w:rsid w:val="00854D46"/>
    <w:rsid w:val="00855080"/>
    <w:rsid w:val="008550A2"/>
    <w:rsid w:val="008550C1"/>
    <w:rsid w:val="008551C6"/>
    <w:rsid w:val="0085526F"/>
    <w:rsid w:val="008553E3"/>
    <w:rsid w:val="0085555C"/>
    <w:rsid w:val="008555BC"/>
    <w:rsid w:val="00855787"/>
    <w:rsid w:val="0085589A"/>
    <w:rsid w:val="008558D7"/>
    <w:rsid w:val="00855A30"/>
    <w:rsid w:val="00855A3C"/>
    <w:rsid w:val="00855BBA"/>
    <w:rsid w:val="00855C98"/>
    <w:rsid w:val="00855D1B"/>
    <w:rsid w:val="00855DCA"/>
    <w:rsid w:val="00856033"/>
    <w:rsid w:val="0085620B"/>
    <w:rsid w:val="008562A9"/>
    <w:rsid w:val="0085657A"/>
    <w:rsid w:val="00856721"/>
    <w:rsid w:val="008567E8"/>
    <w:rsid w:val="008569A7"/>
    <w:rsid w:val="00856B9F"/>
    <w:rsid w:val="00856F86"/>
    <w:rsid w:val="00856FF1"/>
    <w:rsid w:val="008570BA"/>
    <w:rsid w:val="00857152"/>
    <w:rsid w:val="00857493"/>
    <w:rsid w:val="008574A3"/>
    <w:rsid w:val="008574E3"/>
    <w:rsid w:val="0085769C"/>
    <w:rsid w:val="0085773D"/>
    <w:rsid w:val="00857780"/>
    <w:rsid w:val="0085782D"/>
    <w:rsid w:val="0085788B"/>
    <w:rsid w:val="008578D6"/>
    <w:rsid w:val="00857A6A"/>
    <w:rsid w:val="00857AD8"/>
    <w:rsid w:val="00857CAF"/>
    <w:rsid w:val="00857DED"/>
    <w:rsid w:val="00857F6B"/>
    <w:rsid w:val="008602A7"/>
    <w:rsid w:val="008602FA"/>
    <w:rsid w:val="008604DF"/>
    <w:rsid w:val="008605D4"/>
    <w:rsid w:val="008605E6"/>
    <w:rsid w:val="0086061E"/>
    <w:rsid w:val="008606C3"/>
    <w:rsid w:val="00860708"/>
    <w:rsid w:val="0086072B"/>
    <w:rsid w:val="0086087C"/>
    <w:rsid w:val="00860921"/>
    <w:rsid w:val="00860AD1"/>
    <w:rsid w:val="00860AF0"/>
    <w:rsid w:val="00860AFD"/>
    <w:rsid w:val="00860B4D"/>
    <w:rsid w:val="00860C30"/>
    <w:rsid w:val="00860D3B"/>
    <w:rsid w:val="00860D82"/>
    <w:rsid w:val="00860DED"/>
    <w:rsid w:val="00860E45"/>
    <w:rsid w:val="00860F97"/>
    <w:rsid w:val="0086118C"/>
    <w:rsid w:val="00861284"/>
    <w:rsid w:val="008612A5"/>
    <w:rsid w:val="008612C0"/>
    <w:rsid w:val="008612C2"/>
    <w:rsid w:val="008612FD"/>
    <w:rsid w:val="00861505"/>
    <w:rsid w:val="00861516"/>
    <w:rsid w:val="00861523"/>
    <w:rsid w:val="008615B1"/>
    <w:rsid w:val="0086166D"/>
    <w:rsid w:val="00861776"/>
    <w:rsid w:val="00861CEE"/>
    <w:rsid w:val="00862232"/>
    <w:rsid w:val="0086242B"/>
    <w:rsid w:val="0086243C"/>
    <w:rsid w:val="00862538"/>
    <w:rsid w:val="008626F7"/>
    <w:rsid w:val="00862812"/>
    <w:rsid w:val="008628B8"/>
    <w:rsid w:val="008629CF"/>
    <w:rsid w:val="00862B23"/>
    <w:rsid w:val="00862C9B"/>
    <w:rsid w:val="00862CA3"/>
    <w:rsid w:val="00862DD6"/>
    <w:rsid w:val="00862F84"/>
    <w:rsid w:val="00863021"/>
    <w:rsid w:val="00863031"/>
    <w:rsid w:val="0086307A"/>
    <w:rsid w:val="00863134"/>
    <w:rsid w:val="008631B9"/>
    <w:rsid w:val="0086332D"/>
    <w:rsid w:val="0086338B"/>
    <w:rsid w:val="008634EA"/>
    <w:rsid w:val="00863632"/>
    <w:rsid w:val="008636B7"/>
    <w:rsid w:val="0086381A"/>
    <w:rsid w:val="00863D38"/>
    <w:rsid w:val="00863E1B"/>
    <w:rsid w:val="00863F0A"/>
    <w:rsid w:val="00864071"/>
    <w:rsid w:val="00864154"/>
    <w:rsid w:val="00864520"/>
    <w:rsid w:val="00864758"/>
    <w:rsid w:val="00864843"/>
    <w:rsid w:val="00864878"/>
    <w:rsid w:val="00864A27"/>
    <w:rsid w:val="00864F68"/>
    <w:rsid w:val="00865161"/>
    <w:rsid w:val="0086527E"/>
    <w:rsid w:val="0086552E"/>
    <w:rsid w:val="00865675"/>
    <w:rsid w:val="008656B0"/>
    <w:rsid w:val="008656C4"/>
    <w:rsid w:val="008656CF"/>
    <w:rsid w:val="00865B08"/>
    <w:rsid w:val="00865BF8"/>
    <w:rsid w:val="00865DD9"/>
    <w:rsid w:val="00865FC7"/>
    <w:rsid w:val="0086613C"/>
    <w:rsid w:val="0086618F"/>
    <w:rsid w:val="00866399"/>
    <w:rsid w:val="008666B1"/>
    <w:rsid w:val="00866700"/>
    <w:rsid w:val="0086689A"/>
    <w:rsid w:val="008668ED"/>
    <w:rsid w:val="00866AD5"/>
    <w:rsid w:val="00866BEC"/>
    <w:rsid w:val="00866C16"/>
    <w:rsid w:val="00867011"/>
    <w:rsid w:val="00867076"/>
    <w:rsid w:val="0086708B"/>
    <w:rsid w:val="008670C0"/>
    <w:rsid w:val="008672A0"/>
    <w:rsid w:val="008673AA"/>
    <w:rsid w:val="00867689"/>
    <w:rsid w:val="008676C2"/>
    <w:rsid w:val="00867732"/>
    <w:rsid w:val="00867A02"/>
    <w:rsid w:val="00867CBC"/>
    <w:rsid w:val="00867FBA"/>
    <w:rsid w:val="00870489"/>
    <w:rsid w:val="008704A0"/>
    <w:rsid w:val="008706A2"/>
    <w:rsid w:val="008707A8"/>
    <w:rsid w:val="00870838"/>
    <w:rsid w:val="008709E6"/>
    <w:rsid w:val="00870B9D"/>
    <w:rsid w:val="008710E0"/>
    <w:rsid w:val="00871107"/>
    <w:rsid w:val="008712A7"/>
    <w:rsid w:val="00871324"/>
    <w:rsid w:val="00871715"/>
    <w:rsid w:val="00871A1C"/>
    <w:rsid w:val="00871B6D"/>
    <w:rsid w:val="00871BC1"/>
    <w:rsid w:val="00871DB0"/>
    <w:rsid w:val="00871EE7"/>
    <w:rsid w:val="0087215E"/>
    <w:rsid w:val="0087230B"/>
    <w:rsid w:val="00872427"/>
    <w:rsid w:val="00872808"/>
    <w:rsid w:val="0087284C"/>
    <w:rsid w:val="00872870"/>
    <w:rsid w:val="008728F4"/>
    <w:rsid w:val="00872918"/>
    <w:rsid w:val="008729A3"/>
    <w:rsid w:val="00872B54"/>
    <w:rsid w:val="00872BA0"/>
    <w:rsid w:val="00872C0F"/>
    <w:rsid w:val="00872C3F"/>
    <w:rsid w:val="00872C82"/>
    <w:rsid w:val="00872C9F"/>
    <w:rsid w:val="00872DB5"/>
    <w:rsid w:val="00872DF3"/>
    <w:rsid w:val="00872E9F"/>
    <w:rsid w:val="00872EE7"/>
    <w:rsid w:val="0087300A"/>
    <w:rsid w:val="00873523"/>
    <w:rsid w:val="0087376A"/>
    <w:rsid w:val="00873770"/>
    <w:rsid w:val="008738BD"/>
    <w:rsid w:val="00873A02"/>
    <w:rsid w:val="00873A04"/>
    <w:rsid w:val="00873A43"/>
    <w:rsid w:val="00873FE2"/>
    <w:rsid w:val="00874038"/>
    <w:rsid w:val="00874233"/>
    <w:rsid w:val="00874366"/>
    <w:rsid w:val="008743CC"/>
    <w:rsid w:val="008743DA"/>
    <w:rsid w:val="008744A2"/>
    <w:rsid w:val="00874747"/>
    <w:rsid w:val="0087476D"/>
    <w:rsid w:val="008747BD"/>
    <w:rsid w:val="00874B02"/>
    <w:rsid w:val="00874C35"/>
    <w:rsid w:val="00874CB9"/>
    <w:rsid w:val="00874DF3"/>
    <w:rsid w:val="00874E49"/>
    <w:rsid w:val="00875260"/>
    <w:rsid w:val="008753E3"/>
    <w:rsid w:val="0087540C"/>
    <w:rsid w:val="0087548C"/>
    <w:rsid w:val="0087553A"/>
    <w:rsid w:val="008757E2"/>
    <w:rsid w:val="008758CB"/>
    <w:rsid w:val="00875923"/>
    <w:rsid w:val="008759B6"/>
    <w:rsid w:val="008759DC"/>
    <w:rsid w:val="00875A36"/>
    <w:rsid w:val="00875AD3"/>
    <w:rsid w:val="00875B98"/>
    <w:rsid w:val="00875D9B"/>
    <w:rsid w:val="00875FA7"/>
    <w:rsid w:val="00876006"/>
    <w:rsid w:val="0087623F"/>
    <w:rsid w:val="00876399"/>
    <w:rsid w:val="0087640F"/>
    <w:rsid w:val="008765E4"/>
    <w:rsid w:val="00876618"/>
    <w:rsid w:val="008766A7"/>
    <w:rsid w:val="0087682F"/>
    <w:rsid w:val="008768F9"/>
    <w:rsid w:val="00876916"/>
    <w:rsid w:val="00876AFD"/>
    <w:rsid w:val="00876CC6"/>
    <w:rsid w:val="00876D09"/>
    <w:rsid w:val="00876EF4"/>
    <w:rsid w:val="00876F41"/>
    <w:rsid w:val="00877055"/>
    <w:rsid w:val="008770DB"/>
    <w:rsid w:val="00877313"/>
    <w:rsid w:val="008773DA"/>
    <w:rsid w:val="0087744F"/>
    <w:rsid w:val="008774E0"/>
    <w:rsid w:val="00877729"/>
    <w:rsid w:val="00877906"/>
    <w:rsid w:val="0087792F"/>
    <w:rsid w:val="008779A3"/>
    <w:rsid w:val="00877AE9"/>
    <w:rsid w:val="00877AFB"/>
    <w:rsid w:val="00877B3F"/>
    <w:rsid w:val="00877DC4"/>
    <w:rsid w:val="00877E17"/>
    <w:rsid w:val="00877E31"/>
    <w:rsid w:val="00877E55"/>
    <w:rsid w:val="00877E6E"/>
    <w:rsid w:val="008801CA"/>
    <w:rsid w:val="008804DA"/>
    <w:rsid w:val="00880582"/>
    <w:rsid w:val="008806CF"/>
    <w:rsid w:val="0088083E"/>
    <w:rsid w:val="00880843"/>
    <w:rsid w:val="00880BEA"/>
    <w:rsid w:val="00880C93"/>
    <w:rsid w:val="00880F4F"/>
    <w:rsid w:val="00881390"/>
    <w:rsid w:val="008813AF"/>
    <w:rsid w:val="008815E7"/>
    <w:rsid w:val="0088160B"/>
    <w:rsid w:val="00881656"/>
    <w:rsid w:val="0088191C"/>
    <w:rsid w:val="00881954"/>
    <w:rsid w:val="00881964"/>
    <w:rsid w:val="008819DB"/>
    <w:rsid w:val="00881B72"/>
    <w:rsid w:val="00881BF4"/>
    <w:rsid w:val="00881EAD"/>
    <w:rsid w:val="0088220B"/>
    <w:rsid w:val="00882292"/>
    <w:rsid w:val="00882563"/>
    <w:rsid w:val="008825CB"/>
    <w:rsid w:val="0088275C"/>
    <w:rsid w:val="008827C4"/>
    <w:rsid w:val="00882A67"/>
    <w:rsid w:val="00882B96"/>
    <w:rsid w:val="00882BC8"/>
    <w:rsid w:val="00882C2E"/>
    <w:rsid w:val="00882EE5"/>
    <w:rsid w:val="00883061"/>
    <w:rsid w:val="008835EC"/>
    <w:rsid w:val="00883613"/>
    <w:rsid w:val="00883638"/>
    <w:rsid w:val="008836A4"/>
    <w:rsid w:val="00883759"/>
    <w:rsid w:val="0088375C"/>
    <w:rsid w:val="008837AB"/>
    <w:rsid w:val="008838C9"/>
    <w:rsid w:val="008839F4"/>
    <w:rsid w:val="00883A26"/>
    <w:rsid w:val="00883B8A"/>
    <w:rsid w:val="00883CBD"/>
    <w:rsid w:val="00883CF3"/>
    <w:rsid w:val="00883E4A"/>
    <w:rsid w:val="0088411D"/>
    <w:rsid w:val="008842C4"/>
    <w:rsid w:val="008846DC"/>
    <w:rsid w:val="00884996"/>
    <w:rsid w:val="00884A0B"/>
    <w:rsid w:val="00884DDC"/>
    <w:rsid w:val="00884ECA"/>
    <w:rsid w:val="00884F52"/>
    <w:rsid w:val="00884F81"/>
    <w:rsid w:val="00884FF6"/>
    <w:rsid w:val="0088506A"/>
    <w:rsid w:val="008850AA"/>
    <w:rsid w:val="00885400"/>
    <w:rsid w:val="0088568A"/>
    <w:rsid w:val="00885742"/>
    <w:rsid w:val="0088581A"/>
    <w:rsid w:val="00885831"/>
    <w:rsid w:val="00885C16"/>
    <w:rsid w:val="00885C51"/>
    <w:rsid w:val="00885DC1"/>
    <w:rsid w:val="00885DF3"/>
    <w:rsid w:val="00885F82"/>
    <w:rsid w:val="008860B6"/>
    <w:rsid w:val="008861BF"/>
    <w:rsid w:val="0088625B"/>
    <w:rsid w:val="0088627D"/>
    <w:rsid w:val="0088631A"/>
    <w:rsid w:val="008863C2"/>
    <w:rsid w:val="00886627"/>
    <w:rsid w:val="008867BB"/>
    <w:rsid w:val="00886979"/>
    <w:rsid w:val="00886A7E"/>
    <w:rsid w:val="00886EEE"/>
    <w:rsid w:val="0088732F"/>
    <w:rsid w:val="008873DB"/>
    <w:rsid w:val="00887553"/>
    <w:rsid w:val="008877A8"/>
    <w:rsid w:val="00887A76"/>
    <w:rsid w:val="00887C01"/>
    <w:rsid w:val="00887C7E"/>
    <w:rsid w:val="00887D5A"/>
    <w:rsid w:val="00887DA0"/>
    <w:rsid w:val="00887DBF"/>
    <w:rsid w:val="00887E58"/>
    <w:rsid w:val="00887F86"/>
    <w:rsid w:val="008900C2"/>
    <w:rsid w:val="00890130"/>
    <w:rsid w:val="00890330"/>
    <w:rsid w:val="008903BC"/>
    <w:rsid w:val="00890534"/>
    <w:rsid w:val="00890618"/>
    <w:rsid w:val="008906A4"/>
    <w:rsid w:val="008906D4"/>
    <w:rsid w:val="0089076D"/>
    <w:rsid w:val="00890EA0"/>
    <w:rsid w:val="00891006"/>
    <w:rsid w:val="008910B5"/>
    <w:rsid w:val="008911A7"/>
    <w:rsid w:val="0089126A"/>
    <w:rsid w:val="0089127C"/>
    <w:rsid w:val="008914C2"/>
    <w:rsid w:val="008917BF"/>
    <w:rsid w:val="008919A5"/>
    <w:rsid w:val="00891A41"/>
    <w:rsid w:val="00891AAD"/>
    <w:rsid w:val="00891B19"/>
    <w:rsid w:val="0089233B"/>
    <w:rsid w:val="008923A3"/>
    <w:rsid w:val="0089249C"/>
    <w:rsid w:val="00892577"/>
    <w:rsid w:val="00892A0D"/>
    <w:rsid w:val="00892C1C"/>
    <w:rsid w:val="00892C95"/>
    <w:rsid w:val="00892DA5"/>
    <w:rsid w:val="00892F64"/>
    <w:rsid w:val="008930CB"/>
    <w:rsid w:val="008930D6"/>
    <w:rsid w:val="0089325C"/>
    <w:rsid w:val="008934D8"/>
    <w:rsid w:val="008936A5"/>
    <w:rsid w:val="00893721"/>
    <w:rsid w:val="00893893"/>
    <w:rsid w:val="00893A71"/>
    <w:rsid w:val="00893B40"/>
    <w:rsid w:val="00893B81"/>
    <w:rsid w:val="0089402F"/>
    <w:rsid w:val="00894097"/>
    <w:rsid w:val="00894107"/>
    <w:rsid w:val="00894150"/>
    <w:rsid w:val="0089425E"/>
    <w:rsid w:val="008943DA"/>
    <w:rsid w:val="008944E4"/>
    <w:rsid w:val="008947EC"/>
    <w:rsid w:val="00894816"/>
    <w:rsid w:val="0089487F"/>
    <w:rsid w:val="00894913"/>
    <w:rsid w:val="008949C7"/>
    <w:rsid w:val="00894B56"/>
    <w:rsid w:val="00894BE6"/>
    <w:rsid w:val="0089502A"/>
    <w:rsid w:val="008951CE"/>
    <w:rsid w:val="008953B6"/>
    <w:rsid w:val="0089575F"/>
    <w:rsid w:val="008957DF"/>
    <w:rsid w:val="00895A3B"/>
    <w:rsid w:val="00895AB4"/>
    <w:rsid w:val="00895C9B"/>
    <w:rsid w:val="00895CF0"/>
    <w:rsid w:val="00895D2B"/>
    <w:rsid w:val="008960B0"/>
    <w:rsid w:val="008960BC"/>
    <w:rsid w:val="008961E5"/>
    <w:rsid w:val="00896625"/>
    <w:rsid w:val="0089682C"/>
    <w:rsid w:val="00896845"/>
    <w:rsid w:val="00896B5B"/>
    <w:rsid w:val="00896DD4"/>
    <w:rsid w:val="00896E68"/>
    <w:rsid w:val="00896EDA"/>
    <w:rsid w:val="00896EE4"/>
    <w:rsid w:val="008970F7"/>
    <w:rsid w:val="0089759C"/>
    <w:rsid w:val="00897775"/>
    <w:rsid w:val="008977AB"/>
    <w:rsid w:val="0089781E"/>
    <w:rsid w:val="00897973"/>
    <w:rsid w:val="0089797F"/>
    <w:rsid w:val="00897E4C"/>
    <w:rsid w:val="00897F58"/>
    <w:rsid w:val="008A00E0"/>
    <w:rsid w:val="008A00F1"/>
    <w:rsid w:val="008A048F"/>
    <w:rsid w:val="008A049F"/>
    <w:rsid w:val="008A0614"/>
    <w:rsid w:val="008A0666"/>
    <w:rsid w:val="008A068C"/>
    <w:rsid w:val="008A0804"/>
    <w:rsid w:val="008A09B2"/>
    <w:rsid w:val="008A0A9F"/>
    <w:rsid w:val="008A0C30"/>
    <w:rsid w:val="008A0C83"/>
    <w:rsid w:val="008A0F84"/>
    <w:rsid w:val="008A10D8"/>
    <w:rsid w:val="008A1213"/>
    <w:rsid w:val="008A1273"/>
    <w:rsid w:val="008A1279"/>
    <w:rsid w:val="008A12B7"/>
    <w:rsid w:val="008A130B"/>
    <w:rsid w:val="008A1329"/>
    <w:rsid w:val="008A1435"/>
    <w:rsid w:val="008A14BB"/>
    <w:rsid w:val="008A1503"/>
    <w:rsid w:val="008A15AC"/>
    <w:rsid w:val="008A19A2"/>
    <w:rsid w:val="008A19BB"/>
    <w:rsid w:val="008A19DE"/>
    <w:rsid w:val="008A19FB"/>
    <w:rsid w:val="008A19FE"/>
    <w:rsid w:val="008A1B67"/>
    <w:rsid w:val="008A1C4E"/>
    <w:rsid w:val="008A1C71"/>
    <w:rsid w:val="008A1DF3"/>
    <w:rsid w:val="008A1E58"/>
    <w:rsid w:val="008A1EAA"/>
    <w:rsid w:val="008A200C"/>
    <w:rsid w:val="008A20F9"/>
    <w:rsid w:val="008A2381"/>
    <w:rsid w:val="008A23AD"/>
    <w:rsid w:val="008A2559"/>
    <w:rsid w:val="008A27CC"/>
    <w:rsid w:val="008A294F"/>
    <w:rsid w:val="008A2A55"/>
    <w:rsid w:val="008A2A86"/>
    <w:rsid w:val="008A2B42"/>
    <w:rsid w:val="008A2D95"/>
    <w:rsid w:val="008A2F92"/>
    <w:rsid w:val="008A30B0"/>
    <w:rsid w:val="008A30D6"/>
    <w:rsid w:val="008A3224"/>
    <w:rsid w:val="008A336E"/>
    <w:rsid w:val="008A3576"/>
    <w:rsid w:val="008A358F"/>
    <w:rsid w:val="008A35F6"/>
    <w:rsid w:val="008A3775"/>
    <w:rsid w:val="008A3D43"/>
    <w:rsid w:val="008A4064"/>
    <w:rsid w:val="008A40B4"/>
    <w:rsid w:val="008A422D"/>
    <w:rsid w:val="008A42D3"/>
    <w:rsid w:val="008A4422"/>
    <w:rsid w:val="008A4711"/>
    <w:rsid w:val="008A490E"/>
    <w:rsid w:val="008A4BB0"/>
    <w:rsid w:val="008A4CB3"/>
    <w:rsid w:val="008A4D29"/>
    <w:rsid w:val="008A5026"/>
    <w:rsid w:val="008A53A9"/>
    <w:rsid w:val="008A53B6"/>
    <w:rsid w:val="008A5474"/>
    <w:rsid w:val="008A54B5"/>
    <w:rsid w:val="008A5722"/>
    <w:rsid w:val="008A573D"/>
    <w:rsid w:val="008A5900"/>
    <w:rsid w:val="008A59B0"/>
    <w:rsid w:val="008A5AC3"/>
    <w:rsid w:val="008A5BDC"/>
    <w:rsid w:val="008A5CF9"/>
    <w:rsid w:val="008A5CFE"/>
    <w:rsid w:val="008A5E1D"/>
    <w:rsid w:val="008A60BA"/>
    <w:rsid w:val="008A62A7"/>
    <w:rsid w:val="008A6601"/>
    <w:rsid w:val="008A6931"/>
    <w:rsid w:val="008A6B08"/>
    <w:rsid w:val="008A6B6F"/>
    <w:rsid w:val="008A6D2F"/>
    <w:rsid w:val="008A6D32"/>
    <w:rsid w:val="008A6DC0"/>
    <w:rsid w:val="008A6FCD"/>
    <w:rsid w:val="008A6FE9"/>
    <w:rsid w:val="008A70CE"/>
    <w:rsid w:val="008A73B0"/>
    <w:rsid w:val="008A73E9"/>
    <w:rsid w:val="008A7A19"/>
    <w:rsid w:val="008A7AE1"/>
    <w:rsid w:val="008A7B63"/>
    <w:rsid w:val="008A7DCF"/>
    <w:rsid w:val="008A7E15"/>
    <w:rsid w:val="008A7E51"/>
    <w:rsid w:val="008B0021"/>
    <w:rsid w:val="008B0398"/>
    <w:rsid w:val="008B0724"/>
    <w:rsid w:val="008B0764"/>
    <w:rsid w:val="008B0CB1"/>
    <w:rsid w:val="008B0E1D"/>
    <w:rsid w:val="008B0F9D"/>
    <w:rsid w:val="008B134F"/>
    <w:rsid w:val="008B136A"/>
    <w:rsid w:val="008B1577"/>
    <w:rsid w:val="008B1B84"/>
    <w:rsid w:val="008B1BD0"/>
    <w:rsid w:val="008B1C23"/>
    <w:rsid w:val="008B1C8E"/>
    <w:rsid w:val="008B1FC7"/>
    <w:rsid w:val="008B208C"/>
    <w:rsid w:val="008B21AD"/>
    <w:rsid w:val="008B276B"/>
    <w:rsid w:val="008B2A4A"/>
    <w:rsid w:val="008B2A84"/>
    <w:rsid w:val="008B2E4A"/>
    <w:rsid w:val="008B31ED"/>
    <w:rsid w:val="008B328B"/>
    <w:rsid w:val="008B3464"/>
    <w:rsid w:val="008B34AE"/>
    <w:rsid w:val="008B34C1"/>
    <w:rsid w:val="008B370E"/>
    <w:rsid w:val="008B3A5C"/>
    <w:rsid w:val="008B3BDD"/>
    <w:rsid w:val="008B3C33"/>
    <w:rsid w:val="008B3C3E"/>
    <w:rsid w:val="008B3E69"/>
    <w:rsid w:val="008B3FAA"/>
    <w:rsid w:val="008B4087"/>
    <w:rsid w:val="008B41E1"/>
    <w:rsid w:val="008B4332"/>
    <w:rsid w:val="008B4407"/>
    <w:rsid w:val="008B4448"/>
    <w:rsid w:val="008B4453"/>
    <w:rsid w:val="008B48C0"/>
    <w:rsid w:val="008B4913"/>
    <w:rsid w:val="008B492F"/>
    <w:rsid w:val="008B4A6F"/>
    <w:rsid w:val="008B4AA5"/>
    <w:rsid w:val="008B4C30"/>
    <w:rsid w:val="008B4EA9"/>
    <w:rsid w:val="008B5012"/>
    <w:rsid w:val="008B5019"/>
    <w:rsid w:val="008B50C3"/>
    <w:rsid w:val="008B542B"/>
    <w:rsid w:val="008B54C2"/>
    <w:rsid w:val="008B5504"/>
    <w:rsid w:val="008B55DD"/>
    <w:rsid w:val="008B566B"/>
    <w:rsid w:val="008B5694"/>
    <w:rsid w:val="008B5717"/>
    <w:rsid w:val="008B5750"/>
    <w:rsid w:val="008B5867"/>
    <w:rsid w:val="008B59CE"/>
    <w:rsid w:val="008B5AB0"/>
    <w:rsid w:val="008B5AF8"/>
    <w:rsid w:val="008B5B3A"/>
    <w:rsid w:val="008B5B6F"/>
    <w:rsid w:val="008B5D9D"/>
    <w:rsid w:val="008B6260"/>
    <w:rsid w:val="008B62E7"/>
    <w:rsid w:val="008B6601"/>
    <w:rsid w:val="008B6727"/>
    <w:rsid w:val="008B67F2"/>
    <w:rsid w:val="008B67FF"/>
    <w:rsid w:val="008B68A4"/>
    <w:rsid w:val="008B698D"/>
    <w:rsid w:val="008B6A09"/>
    <w:rsid w:val="008B6A5D"/>
    <w:rsid w:val="008B6BF4"/>
    <w:rsid w:val="008B6D98"/>
    <w:rsid w:val="008B6E6C"/>
    <w:rsid w:val="008B6FFB"/>
    <w:rsid w:val="008B7657"/>
    <w:rsid w:val="008B76CF"/>
    <w:rsid w:val="008B7B63"/>
    <w:rsid w:val="008B7D60"/>
    <w:rsid w:val="008B7EAF"/>
    <w:rsid w:val="008B7FD7"/>
    <w:rsid w:val="008C0223"/>
    <w:rsid w:val="008C0284"/>
    <w:rsid w:val="008C05A8"/>
    <w:rsid w:val="008C06E3"/>
    <w:rsid w:val="008C08BA"/>
    <w:rsid w:val="008C08CE"/>
    <w:rsid w:val="008C09A9"/>
    <w:rsid w:val="008C131F"/>
    <w:rsid w:val="008C156D"/>
    <w:rsid w:val="008C1586"/>
    <w:rsid w:val="008C1668"/>
    <w:rsid w:val="008C16F6"/>
    <w:rsid w:val="008C184F"/>
    <w:rsid w:val="008C1965"/>
    <w:rsid w:val="008C1A43"/>
    <w:rsid w:val="008C1C58"/>
    <w:rsid w:val="008C1C70"/>
    <w:rsid w:val="008C1D80"/>
    <w:rsid w:val="008C2107"/>
    <w:rsid w:val="008C211F"/>
    <w:rsid w:val="008C2335"/>
    <w:rsid w:val="008C2351"/>
    <w:rsid w:val="008C23DF"/>
    <w:rsid w:val="008C2493"/>
    <w:rsid w:val="008C2631"/>
    <w:rsid w:val="008C26B9"/>
    <w:rsid w:val="008C2964"/>
    <w:rsid w:val="008C2A0B"/>
    <w:rsid w:val="008C2AFD"/>
    <w:rsid w:val="008C2B31"/>
    <w:rsid w:val="008C2B7F"/>
    <w:rsid w:val="008C2D26"/>
    <w:rsid w:val="008C2D48"/>
    <w:rsid w:val="008C2DFE"/>
    <w:rsid w:val="008C303E"/>
    <w:rsid w:val="008C31B9"/>
    <w:rsid w:val="008C32A5"/>
    <w:rsid w:val="008C32FB"/>
    <w:rsid w:val="008C334D"/>
    <w:rsid w:val="008C34BC"/>
    <w:rsid w:val="008C3575"/>
    <w:rsid w:val="008C36A7"/>
    <w:rsid w:val="008C36DA"/>
    <w:rsid w:val="008C3CE5"/>
    <w:rsid w:val="008C3CEC"/>
    <w:rsid w:val="008C3D12"/>
    <w:rsid w:val="008C404D"/>
    <w:rsid w:val="008C43B6"/>
    <w:rsid w:val="008C43C4"/>
    <w:rsid w:val="008C4463"/>
    <w:rsid w:val="008C446B"/>
    <w:rsid w:val="008C4649"/>
    <w:rsid w:val="008C4657"/>
    <w:rsid w:val="008C4A1E"/>
    <w:rsid w:val="008C4B5A"/>
    <w:rsid w:val="008C4C32"/>
    <w:rsid w:val="008C4DAF"/>
    <w:rsid w:val="008C4F64"/>
    <w:rsid w:val="008C4FAD"/>
    <w:rsid w:val="008C5222"/>
    <w:rsid w:val="008C52EA"/>
    <w:rsid w:val="008C5316"/>
    <w:rsid w:val="008C536D"/>
    <w:rsid w:val="008C548B"/>
    <w:rsid w:val="008C54B3"/>
    <w:rsid w:val="008C5685"/>
    <w:rsid w:val="008C5889"/>
    <w:rsid w:val="008C58AA"/>
    <w:rsid w:val="008C59D1"/>
    <w:rsid w:val="008C5AB7"/>
    <w:rsid w:val="008C5C3A"/>
    <w:rsid w:val="008C5C53"/>
    <w:rsid w:val="008C5D89"/>
    <w:rsid w:val="008C61C0"/>
    <w:rsid w:val="008C61E7"/>
    <w:rsid w:val="008C62D7"/>
    <w:rsid w:val="008C6706"/>
    <w:rsid w:val="008C6713"/>
    <w:rsid w:val="008C6BF7"/>
    <w:rsid w:val="008C6EEE"/>
    <w:rsid w:val="008C6F22"/>
    <w:rsid w:val="008C70D0"/>
    <w:rsid w:val="008C72F8"/>
    <w:rsid w:val="008C7447"/>
    <w:rsid w:val="008C7A5F"/>
    <w:rsid w:val="008C7F1E"/>
    <w:rsid w:val="008C7F27"/>
    <w:rsid w:val="008D00EC"/>
    <w:rsid w:val="008D01A5"/>
    <w:rsid w:val="008D04FA"/>
    <w:rsid w:val="008D057C"/>
    <w:rsid w:val="008D062E"/>
    <w:rsid w:val="008D073E"/>
    <w:rsid w:val="008D0798"/>
    <w:rsid w:val="008D0D13"/>
    <w:rsid w:val="008D0DA8"/>
    <w:rsid w:val="008D0E1D"/>
    <w:rsid w:val="008D0EB6"/>
    <w:rsid w:val="008D10D1"/>
    <w:rsid w:val="008D133A"/>
    <w:rsid w:val="008D1590"/>
    <w:rsid w:val="008D16D5"/>
    <w:rsid w:val="008D176A"/>
    <w:rsid w:val="008D1A61"/>
    <w:rsid w:val="008D1F06"/>
    <w:rsid w:val="008D22AE"/>
    <w:rsid w:val="008D2390"/>
    <w:rsid w:val="008D2518"/>
    <w:rsid w:val="008D280D"/>
    <w:rsid w:val="008D294F"/>
    <w:rsid w:val="008D2B37"/>
    <w:rsid w:val="008D2B7B"/>
    <w:rsid w:val="008D2BDB"/>
    <w:rsid w:val="008D2D03"/>
    <w:rsid w:val="008D2D60"/>
    <w:rsid w:val="008D2F1C"/>
    <w:rsid w:val="008D2F89"/>
    <w:rsid w:val="008D3149"/>
    <w:rsid w:val="008D3309"/>
    <w:rsid w:val="008D34B4"/>
    <w:rsid w:val="008D34E1"/>
    <w:rsid w:val="008D35EC"/>
    <w:rsid w:val="008D3603"/>
    <w:rsid w:val="008D368C"/>
    <w:rsid w:val="008D3786"/>
    <w:rsid w:val="008D38CD"/>
    <w:rsid w:val="008D3979"/>
    <w:rsid w:val="008D3A54"/>
    <w:rsid w:val="008D3B50"/>
    <w:rsid w:val="008D3B88"/>
    <w:rsid w:val="008D3BEB"/>
    <w:rsid w:val="008D3C31"/>
    <w:rsid w:val="008D3EB5"/>
    <w:rsid w:val="008D3F0B"/>
    <w:rsid w:val="008D3FA0"/>
    <w:rsid w:val="008D4063"/>
    <w:rsid w:val="008D40F8"/>
    <w:rsid w:val="008D4108"/>
    <w:rsid w:val="008D4251"/>
    <w:rsid w:val="008D4266"/>
    <w:rsid w:val="008D439D"/>
    <w:rsid w:val="008D451A"/>
    <w:rsid w:val="008D463F"/>
    <w:rsid w:val="008D46C7"/>
    <w:rsid w:val="008D477C"/>
    <w:rsid w:val="008D47EE"/>
    <w:rsid w:val="008D494E"/>
    <w:rsid w:val="008D4955"/>
    <w:rsid w:val="008D4A56"/>
    <w:rsid w:val="008D4BBB"/>
    <w:rsid w:val="008D4BBF"/>
    <w:rsid w:val="008D4E82"/>
    <w:rsid w:val="008D4FE7"/>
    <w:rsid w:val="008D50DC"/>
    <w:rsid w:val="008D50F1"/>
    <w:rsid w:val="008D56A4"/>
    <w:rsid w:val="008D572D"/>
    <w:rsid w:val="008D57A8"/>
    <w:rsid w:val="008D5805"/>
    <w:rsid w:val="008D5D88"/>
    <w:rsid w:val="008D5E2E"/>
    <w:rsid w:val="008D5E40"/>
    <w:rsid w:val="008D5E54"/>
    <w:rsid w:val="008D5F3B"/>
    <w:rsid w:val="008D5F3C"/>
    <w:rsid w:val="008D603A"/>
    <w:rsid w:val="008D6133"/>
    <w:rsid w:val="008D61FB"/>
    <w:rsid w:val="008D636E"/>
    <w:rsid w:val="008D64E6"/>
    <w:rsid w:val="008D64ED"/>
    <w:rsid w:val="008D64FE"/>
    <w:rsid w:val="008D66E1"/>
    <w:rsid w:val="008D6877"/>
    <w:rsid w:val="008D6BBE"/>
    <w:rsid w:val="008D6C88"/>
    <w:rsid w:val="008D6CD4"/>
    <w:rsid w:val="008D6CEC"/>
    <w:rsid w:val="008D6D23"/>
    <w:rsid w:val="008D6D6A"/>
    <w:rsid w:val="008D6DB1"/>
    <w:rsid w:val="008D6DCB"/>
    <w:rsid w:val="008D6E4B"/>
    <w:rsid w:val="008D7143"/>
    <w:rsid w:val="008D71D9"/>
    <w:rsid w:val="008D73CA"/>
    <w:rsid w:val="008D7463"/>
    <w:rsid w:val="008D7493"/>
    <w:rsid w:val="008D7552"/>
    <w:rsid w:val="008D759D"/>
    <w:rsid w:val="008D771A"/>
    <w:rsid w:val="008D7A3C"/>
    <w:rsid w:val="008D7BC6"/>
    <w:rsid w:val="008D7C42"/>
    <w:rsid w:val="008D7D1E"/>
    <w:rsid w:val="008D7EB9"/>
    <w:rsid w:val="008D7F29"/>
    <w:rsid w:val="008E0046"/>
    <w:rsid w:val="008E00FB"/>
    <w:rsid w:val="008E0276"/>
    <w:rsid w:val="008E0447"/>
    <w:rsid w:val="008E04B6"/>
    <w:rsid w:val="008E07EE"/>
    <w:rsid w:val="008E094E"/>
    <w:rsid w:val="008E0972"/>
    <w:rsid w:val="008E0B29"/>
    <w:rsid w:val="008E0D14"/>
    <w:rsid w:val="008E0D4B"/>
    <w:rsid w:val="008E0D81"/>
    <w:rsid w:val="008E12F5"/>
    <w:rsid w:val="008E1372"/>
    <w:rsid w:val="008E13D0"/>
    <w:rsid w:val="008E1541"/>
    <w:rsid w:val="008E15F1"/>
    <w:rsid w:val="008E18E2"/>
    <w:rsid w:val="008E1A02"/>
    <w:rsid w:val="008E1AD1"/>
    <w:rsid w:val="008E1D15"/>
    <w:rsid w:val="008E1E0F"/>
    <w:rsid w:val="008E2108"/>
    <w:rsid w:val="008E24CB"/>
    <w:rsid w:val="008E2513"/>
    <w:rsid w:val="008E26AC"/>
    <w:rsid w:val="008E2713"/>
    <w:rsid w:val="008E2A90"/>
    <w:rsid w:val="008E2B96"/>
    <w:rsid w:val="008E2CEE"/>
    <w:rsid w:val="008E3118"/>
    <w:rsid w:val="008E319C"/>
    <w:rsid w:val="008E341B"/>
    <w:rsid w:val="008E38DB"/>
    <w:rsid w:val="008E3958"/>
    <w:rsid w:val="008E39F3"/>
    <w:rsid w:val="008E4030"/>
    <w:rsid w:val="008E441F"/>
    <w:rsid w:val="008E44C9"/>
    <w:rsid w:val="008E46EF"/>
    <w:rsid w:val="008E4807"/>
    <w:rsid w:val="008E4A17"/>
    <w:rsid w:val="008E4E92"/>
    <w:rsid w:val="008E4EB2"/>
    <w:rsid w:val="008E4F32"/>
    <w:rsid w:val="008E4FC1"/>
    <w:rsid w:val="008E5199"/>
    <w:rsid w:val="008E521C"/>
    <w:rsid w:val="008E52B2"/>
    <w:rsid w:val="008E53B5"/>
    <w:rsid w:val="008E5804"/>
    <w:rsid w:val="008E59C7"/>
    <w:rsid w:val="008E5A67"/>
    <w:rsid w:val="008E5D4C"/>
    <w:rsid w:val="008E6004"/>
    <w:rsid w:val="008E61C7"/>
    <w:rsid w:val="008E61F0"/>
    <w:rsid w:val="008E627E"/>
    <w:rsid w:val="008E62C2"/>
    <w:rsid w:val="008E6393"/>
    <w:rsid w:val="008E656C"/>
    <w:rsid w:val="008E67F0"/>
    <w:rsid w:val="008E6A7E"/>
    <w:rsid w:val="008E6AAD"/>
    <w:rsid w:val="008E6B5C"/>
    <w:rsid w:val="008E6C31"/>
    <w:rsid w:val="008E6F7C"/>
    <w:rsid w:val="008E703B"/>
    <w:rsid w:val="008E70B5"/>
    <w:rsid w:val="008E70D8"/>
    <w:rsid w:val="008E7100"/>
    <w:rsid w:val="008E7206"/>
    <w:rsid w:val="008E7352"/>
    <w:rsid w:val="008E747B"/>
    <w:rsid w:val="008E7490"/>
    <w:rsid w:val="008E75F6"/>
    <w:rsid w:val="008E7A8F"/>
    <w:rsid w:val="008E7ACD"/>
    <w:rsid w:val="008E7CD8"/>
    <w:rsid w:val="008E7E5A"/>
    <w:rsid w:val="008E7ED1"/>
    <w:rsid w:val="008F0233"/>
    <w:rsid w:val="008F02BF"/>
    <w:rsid w:val="008F0331"/>
    <w:rsid w:val="008F03ED"/>
    <w:rsid w:val="008F0485"/>
    <w:rsid w:val="008F06A7"/>
    <w:rsid w:val="008F0780"/>
    <w:rsid w:val="008F07E0"/>
    <w:rsid w:val="008F08FB"/>
    <w:rsid w:val="008F0A30"/>
    <w:rsid w:val="008F0B27"/>
    <w:rsid w:val="008F0CC1"/>
    <w:rsid w:val="008F0EC0"/>
    <w:rsid w:val="008F1127"/>
    <w:rsid w:val="008F120D"/>
    <w:rsid w:val="008F126F"/>
    <w:rsid w:val="008F133B"/>
    <w:rsid w:val="008F1701"/>
    <w:rsid w:val="008F184E"/>
    <w:rsid w:val="008F18A9"/>
    <w:rsid w:val="008F18D3"/>
    <w:rsid w:val="008F19D0"/>
    <w:rsid w:val="008F1AA4"/>
    <w:rsid w:val="008F1B6F"/>
    <w:rsid w:val="008F2048"/>
    <w:rsid w:val="008F2093"/>
    <w:rsid w:val="008F20B1"/>
    <w:rsid w:val="008F2514"/>
    <w:rsid w:val="008F25CE"/>
    <w:rsid w:val="008F2ADB"/>
    <w:rsid w:val="008F2AE3"/>
    <w:rsid w:val="008F2B65"/>
    <w:rsid w:val="008F2C15"/>
    <w:rsid w:val="008F2C4E"/>
    <w:rsid w:val="008F2EA9"/>
    <w:rsid w:val="008F2F8D"/>
    <w:rsid w:val="008F3287"/>
    <w:rsid w:val="008F33BE"/>
    <w:rsid w:val="008F3417"/>
    <w:rsid w:val="008F3595"/>
    <w:rsid w:val="008F35F7"/>
    <w:rsid w:val="008F37A2"/>
    <w:rsid w:val="008F37D6"/>
    <w:rsid w:val="008F38BC"/>
    <w:rsid w:val="008F390C"/>
    <w:rsid w:val="008F3915"/>
    <w:rsid w:val="008F392A"/>
    <w:rsid w:val="008F3A27"/>
    <w:rsid w:val="008F3A5B"/>
    <w:rsid w:val="008F3B16"/>
    <w:rsid w:val="008F3B4A"/>
    <w:rsid w:val="008F4051"/>
    <w:rsid w:val="008F413E"/>
    <w:rsid w:val="008F41C1"/>
    <w:rsid w:val="008F437A"/>
    <w:rsid w:val="008F43C9"/>
    <w:rsid w:val="008F440A"/>
    <w:rsid w:val="008F455B"/>
    <w:rsid w:val="008F49B7"/>
    <w:rsid w:val="008F49E5"/>
    <w:rsid w:val="008F4A08"/>
    <w:rsid w:val="008F4B53"/>
    <w:rsid w:val="008F5061"/>
    <w:rsid w:val="008F5244"/>
    <w:rsid w:val="008F537F"/>
    <w:rsid w:val="008F54B5"/>
    <w:rsid w:val="008F557E"/>
    <w:rsid w:val="008F5605"/>
    <w:rsid w:val="008F583B"/>
    <w:rsid w:val="008F5901"/>
    <w:rsid w:val="008F59F9"/>
    <w:rsid w:val="008F5B80"/>
    <w:rsid w:val="008F5C79"/>
    <w:rsid w:val="008F5DD9"/>
    <w:rsid w:val="008F5E05"/>
    <w:rsid w:val="008F5E1C"/>
    <w:rsid w:val="008F6160"/>
    <w:rsid w:val="008F629F"/>
    <w:rsid w:val="008F62DE"/>
    <w:rsid w:val="008F6413"/>
    <w:rsid w:val="008F6627"/>
    <w:rsid w:val="008F6749"/>
    <w:rsid w:val="008F67F4"/>
    <w:rsid w:val="008F68BA"/>
    <w:rsid w:val="008F69C9"/>
    <w:rsid w:val="008F6A78"/>
    <w:rsid w:val="008F6B37"/>
    <w:rsid w:val="008F6B67"/>
    <w:rsid w:val="008F6CDF"/>
    <w:rsid w:val="008F6D76"/>
    <w:rsid w:val="008F6E9E"/>
    <w:rsid w:val="008F7357"/>
    <w:rsid w:val="008F7418"/>
    <w:rsid w:val="008F761F"/>
    <w:rsid w:val="008F7725"/>
    <w:rsid w:val="008F7801"/>
    <w:rsid w:val="008F7804"/>
    <w:rsid w:val="008F789A"/>
    <w:rsid w:val="008F7BD1"/>
    <w:rsid w:val="008F7CAE"/>
    <w:rsid w:val="0090006D"/>
    <w:rsid w:val="00900088"/>
    <w:rsid w:val="0090036B"/>
    <w:rsid w:val="00900D0F"/>
    <w:rsid w:val="00900D7B"/>
    <w:rsid w:val="0090103C"/>
    <w:rsid w:val="00901094"/>
    <w:rsid w:val="00901098"/>
    <w:rsid w:val="009010B9"/>
    <w:rsid w:val="00901111"/>
    <w:rsid w:val="009011CF"/>
    <w:rsid w:val="009012F8"/>
    <w:rsid w:val="00901302"/>
    <w:rsid w:val="009014E4"/>
    <w:rsid w:val="009015BE"/>
    <w:rsid w:val="009015CA"/>
    <w:rsid w:val="009017BB"/>
    <w:rsid w:val="009018C7"/>
    <w:rsid w:val="00901F64"/>
    <w:rsid w:val="00901F91"/>
    <w:rsid w:val="0090200A"/>
    <w:rsid w:val="009020C8"/>
    <w:rsid w:val="00902101"/>
    <w:rsid w:val="00902386"/>
    <w:rsid w:val="0090256C"/>
    <w:rsid w:val="00902749"/>
    <w:rsid w:val="00902776"/>
    <w:rsid w:val="0090293F"/>
    <w:rsid w:val="00902B03"/>
    <w:rsid w:val="00902BE8"/>
    <w:rsid w:val="00902E1A"/>
    <w:rsid w:val="00902ECA"/>
    <w:rsid w:val="009031E5"/>
    <w:rsid w:val="00903204"/>
    <w:rsid w:val="00903224"/>
    <w:rsid w:val="00903271"/>
    <w:rsid w:val="009034A1"/>
    <w:rsid w:val="00903791"/>
    <w:rsid w:val="0090387B"/>
    <w:rsid w:val="00903942"/>
    <w:rsid w:val="00903AC6"/>
    <w:rsid w:val="00903BBD"/>
    <w:rsid w:val="00903CE7"/>
    <w:rsid w:val="00903D51"/>
    <w:rsid w:val="00903D7D"/>
    <w:rsid w:val="00903EF4"/>
    <w:rsid w:val="0090420D"/>
    <w:rsid w:val="009043C4"/>
    <w:rsid w:val="009044CE"/>
    <w:rsid w:val="009044E2"/>
    <w:rsid w:val="009044E6"/>
    <w:rsid w:val="009045AC"/>
    <w:rsid w:val="00904666"/>
    <w:rsid w:val="00904792"/>
    <w:rsid w:val="00904830"/>
    <w:rsid w:val="00904867"/>
    <w:rsid w:val="009048AD"/>
    <w:rsid w:val="00904975"/>
    <w:rsid w:val="00904995"/>
    <w:rsid w:val="009049C4"/>
    <w:rsid w:val="00904BB4"/>
    <w:rsid w:val="00904C41"/>
    <w:rsid w:val="00904D61"/>
    <w:rsid w:val="0090504B"/>
    <w:rsid w:val="0090554D"/>
    <w:rsid w:val="009057A1"/>
    <w:rsid w:val="009057D2"/>
    <w:rsid w:val="009058DA"/>
    <w:rsid w:val="0090590D"/>
    <w:rsid w:val="009059D7"/>
    <w:rsid w:val="00905AF0"/>
    <w:rsid w:val="00905B9A"/>
    <w:rsid w:val="00905C22"/>
    <w:rsid w:val="00905D9C"/>
    <w:rsid w:val="00905DBA"/>
    <w:rsid w:val="00905E63"/>
    <w:rsid w:val="00906166"/>
    <w:rsid w:val="009062BC"/>
    <w:rsid w:val="009065F0"/>
    <w:rsid w:val="00906664"/>
    <w:rsid w:val="0090672F"/>
    <w:rsid w:val="009068E4"/>
    <w:rsid w:val="00906ACC"/>
    <w:rsid w:val="00906DED"/>
    <w:rsid w:val="00906E33"/>
    <w:rsid w:val="00906EAF"/>
    <w:rsid w:val="00907247"/>
    <w:rsid w:val="00907455"/>
    <w:rsid w:val="00907506"/>
    <w:rsid w:val="0090768C"/>
    <w:rsid w:val="009076E9"/>
    <w:rsid w:val="00907786"/>
    <w:rsid w:val="009078A2"/>
    <w:rsid w:val="009078F2"/>
    <w:rsid w:val="00907A0C"/>
    <w:rsid w:val="00907AEA"/>
    <w:rsid w:val="00907B81"/>
    <w:rsid w:val="00907B9F"/>
    <w:rsid w:val="00907C9D"/>
    <w:rsid w:val="00907E26"/>
    <w:rsid w:val="00907ED1"/>
    <w:rsid w:val="00907F5C"/>
    <w:rsid w:val="00907F82"/>
    <w:rsid w:val="00910111"/>
    <w:rsid w:val="009102C4"/>
    <w:rsid w:val="009103EE"/>
    <w:rsid w:val="00910529"/>
    <w:rsid w:val="0091054F"/>
    <w:rsid w:val="0091079C"/>
    <w:rsid w:val="009107C4"/>
    <w:rsid w:val="0091085C"/>
    <w:rsid w:val="009108DC"/>
    <w:rsid w:val="00910C14"/>
    <w:rsid w:val="00910D6B"/>
    <w:rsid w:val="00910E7E"/>
    <w:rsid w:val="00910EA3"/>
    <w:rsid w:val="0091128B"/>
    <w:rsid w:val="0091129B"/>
    <w:rsid w:val="00911595"/>
    <w:rsid w:val="0091163A"/>
    <w:rsid w:val="0091176A"/>
    <w:rsid w:val="00911B13"/>
    <w:rsid w:val="00911BBA"/>
    <w:rsid w:val="00911E87"/>
    <w:rsid w:val="0091210D"/>
    <w:rsid w:val="00912231"/>
    <w:rsid w:val="00912274"/>
    <w:rsid w:val="009124BE"/>
    <w:rsid w:val="009125DA"/>
    <w:rsid w:val="00912604"/>
    <w:rsid w:val="00912E3A"/>
    <w:rsid w:val="00912E8F"/>
    <w:rsid w:val="00912F26"/>
    <w:rsid w:val="00912F92"/>
    <w:rsid w:val="00913085"/>
    <w:rsid w:val="0091339F"/>
    <w:rsid w:val="0091340A"/>
    <w:rsid w:val="00913538"/>
    <w:rsid w:val="009135C6"/>
    <w:rsid w:val="009135CC"/>
    <w:rsid w:val="009135F4"/>
    <w:rsid w:val="00913743"/>
    <w:rsid w:val="009137E2"/>
    <w:rsid w:val="009138AA"/>
    <w:rsid w:val="00913D2D"/>
    <w:rsid w:val="00913D76"/>
    <w:rsid w:val="00913E70"/>
    <w:rsid w:val="009140C6"/>
    <w:rsid w:val="009143C7"/>
    <w:rsid w:val="00914439"/>
    <w:rsid w:val="0091459E"/>
    <w:rsid w:val="009145C2"/>
    <w:rsid w:val="009146D0"/>
    <w:rsid w:val="009148FD"/>
    <w:rsid w:val="00914BA6"/>
    <w:rsid w:val="00914C30"/>
    <w:rsid w:val="00914C5A"/>
    <w:rsid w:val="00914CA6"/>
    <w:rsid w:val="00914E22"/>
    <w:rsid w:val="00914E66"/>
    <w:rsid w:val="009150FD"/>
    <w:rsid w:val="0091519D"/>
    <w:rsid w:val="00915260"/>
    <w:rsid w:val="0091534A"/>
    <w:rsid w:val="0091556A"/>
    <w:rsid w:val="009156A2"/>
    <w:rsid w:val="0091577D"/>
    <w:rsid w:val="00915E13"/>
    <w:rsid w:val="00915E53"/>
    <w:rsid w:val="00915E64"/>
    <w:rsid w:val="00915EC0"/>
    <w:rsid w:val="00916219"/>
    <w:rsid w:val="00916237"/>
    <w:rsid w:val="009163D3"/>
    <w:rsid w:val="009164B2"/>
    <w:rsid w:val="009165B9"/>
    <w:rsid w:val="009167FF"/>
    <w:rsid w:val="009168BD"/>
    <w:rsid w:val="00916A4E"/>
    <w:rsid w:val="00916A58"/>
    <w:rsid w:val="00916C31"/>
    <w:rsid w:val="00916E01"/>
    <w:rsid w:val="00917069"/>
    <w:rsid w:val="009170CC"/>
    <w:rsid w:val="00917188"/>
    <w:rsid w:val="009172EC"/>
    <w:rsid w:val="0091747F"/>
    <w:rsid w:val="009176E0"/>
    <w:rsid w:val="00917799"/>
    <w:rsid w:val="009177DB"/>
    <w:rsid w:val="009179B8"/>
    <w:rsid w:val="00917A1A"/>
    <w:rsid w:val="00917A3E"/>
    <w:rsid w:val="00917B41"/>
    <w:rsid w:val="00917B95"/>
    <w:rsid w:val="00917B99"/>
    <w:rsid w:val="00917C3D"/>
    <w:rsid w:val="00920098"/>
    <w:rsid w:val="00920178"/>
    <w:rsid w:val="009201FC"/>
    <w:rsid w:val="009202C4"/>
    <w:rsid w:val="00920445"/>
    <w:rsid w:val="00920460"/>
    <w:rsid w:val="009204DA"/>
    <w:rsid w:val="00920530"/>
    <w:rsid w:val="00920554"/>
    <w:rsid w:val="00920B84"/>
    <w:rsid w:val="00920C21"/>
    <w:rsid w:val="00920F9A"/>
    <w:rsid w:val="009210BD"/>
    <w:rsid w:val="0092115C"/>
    <w:rsid w:val="0092119F"/>
    <w:rsid w:val="00921262"/>
    <w:rsid w:val="00921516"/>
    <w:rsid w:val="009215E1"/>
    <w:rsid w:val="009218ED"/>
    <w:rsid w:val="009219DA"/>
    <w:rsid w:val="00921E3B"/>
    <w:rsid w:val="00921EB3"/>
    <w:rsid w:val="00921FBF"/>
    <w:rsid w:val="00922003"/>
    <w:rsid w:val="009220C2"/>
    <w:rsid w:val="0092237F"/>
    <w:rsid w:val="009225CA"/>
    <w:rsid w:val="009226BC"/>
    <w:rsid w:val="009228D6"/>
    <w:rsid w:val="009229E5"/>
    <w:rsid w:val="00922A29"/>
    <w:rsid w:val="00922A47"/>
    <w:rsid w:val="00922C07"/>
    <w:rsid w:val="00922FB9"/>
    <w:rsid w:val="00922FD5"/>
    <w:rsid w:val="009231EE"/>
    <w:rsid w:val="0092340D"/>
    <w:rsid w:val="009235BF"/>
    <w:rsid w:val="009237B0"/>
    <w:rsid w:val="00923AAF"/>
    <w:rsid w:val="00923AFB"/>
    <w:rsid w:val="00923B6A"/>
    <w:rsid w:val="00923BC6"/>
    <w:rsid w:val="00923EEF"/>
    <w:rsid w:val="0092409F"/>
    <w:rsid w:val="009242F0"/>
    <w:rsid w:val="0092447A"/>
    <w:rsid w:val="0092465F"/>
    <w:rsid w:val="009246B7"/>
    <w:rsid w:val="009249C2"/>
    <w:rsid w:val="00924B27"/>
    <w:rsid w:val="00924BC7"/>
    <w:rsid w:val="00924ED9"/>
    <w:rsid w:val="00925187"/>
    <w:rsid w:val="009251BE"/>
    <w:rsid w:val="0092523B"/>
    <w:rsid w:val="009252A0"/>
    <w:rsid w:val="0092565D"/>
    <w:rsid w:val="00925731"/>
    <w:rsid w:val="0092586C"/>
    <w:rsid w:val="009258A2"/>
    <w:rsid w:val="00925A0A"/>
    <w:rsid w:val="00925A39"/>
    <w:rsid w:val="00925A81"/>
    <w:rsid w:val="00925BC6"/>
    <w:rsid w:val="00925BFC"/>
    <w:rsid w:val="00925E48"/>
    <w:rsid w:val="00925E82"/>
    <w:rsid w:val="00926065"/>
    <w:rsid w:val="009260BF"/>
    <w:rsid w:val="009262A9"/>
    <w:rsid w:val="00926414"/>
    <w:rsid w:val="009264DD"/>
    <w:rsid w:val="00926674"/>
    <w:rsid w:val="009269D5"/>
    <w:rsid w:val="00926B61"/>
    <w:rsid w:val="00926B89"/>
    <w:rsid w:val="00926BBB"/>
    <w:rsid w:val="00926BE7"/>
    <w:rsid w:val="00926C1A"/>
    <w:rsid w:val="00926D59"/>
    <w:rsid w:val="00926DB5"/>
    <w:rsid w:val="00927435"/>
    <w:rsid w:val="009274AC"/>
    <w:rsid w:val="0092763B"/>
    <w:rsid w:val="0092772B"/>
    <w:rsid w:val="00927781"/>
    <w:rsid w:val="00927990"/>
    <w:rsid w:val="009279F3"/>
    <w:rsid w:val="00927B20"/>
    <w:rsid w:val="009300BA"/>
    <w:rsid w:val="00930165"/>
    <w:rsid w:val="0093027D"/>
    <w:rsid w:val="0093027F"/>
    <w:rsid w:val="00930909"/>
    <w:rsid w:val="00930980"/>
    <w:rsid w:val="00930A0C"/>
    <w:rsid w:val="00930A3E"/>
    <w:rsid w:val="00930B91"/>
    <w:rsid w:val="00930BAF"/>
    <w:rsid w:val="00930E5D"/>
    <w:rsid w:val="009310C5"/>
    <w:rsid w:val="009310D5"/>
    <w:rsid w:val="00931262"/>
    <w:rsid w:val="009312E3"/>
    <w:rsid w:val="0093156D"/>
    <w:rsid w:val="0093175D"/>
    <w:rsid w:val="009318EE"/>
    <w:rsid w:val="00931B41"/>
    <w:rsid w:val="00931E90"/>
    <w:rsid w:val="00931EBF"/>
    <w:rsid w:val="00932021"/>
    <w:rsid w:val="0093207A"/>
    <w:rsid w:val="009320C7"/>
    <w:rsid w:val="0093230B"/>
    <w:rsid w:val="00932528"/>
    <w:rsid w:val="0093256A"/>
    <w:rsid w:val="009328A5"/>
    <w:rsid w:val="009329E1"/>
    <w:rsid w:val="00932AE3"/>
    <w:rsid w:val="00932C1C"/>
    <w:rsid w:val="00932CB5"/>
    <w:rsid w:val="0093317A"/>
    <w:rsid w:val="009336B9"/>
    <w:rsid w:val="00933740"/>
    <w:rsid w:val="0093374B"/>
    <w:rsid w:val="00933A55"/>
    <w:rsid w:val="00933A8A"/>
    <w:rsid w:val="00933DAB"/>
    <w:rsid w:val="00933DD7"/>
    <w:rsid w:val="00933EBC"/>
    <w:rsid w:val="00933FA2"/>
    <w:rsid w:val="00934031"/>
    <w:rsid w:val="009341B4"/>
    <w:rsid w:val="00934284"/>
    <w:rsid w:val="009343D0"/>
    <w:rsid w:val="0093458A"/>
    <w:rsid w:val="00934A59"/>
    <w:rsid w:val="00934B9C"/>
    <w:rsid w:val="00934D25"/>
    <w:rsid w:val="00934D3E"/>
    <w:rsid w:val="00934E14"/>
    <w:rsid w:val="009354AC"/>
    <w:rsid w:val="009356B5"/>
    <w:rsid w:val="00935982"/>
    <w:rsid w:val="00935C90"/>
    <w:rsid w:val="00935D8E"/>
    <w:rsid w:val="00936240"/>
    <w:rsid w:val="00936926"/>
    <w:rsid w:val="00936CAD"/>
    <w:rsid w:val="00936EC2"/>
    <w:rsid w:val="00936FB4"/>
    <w:rsid w:val="00937098"/>
    <w:rsid w:val="00937127"/>
    <w:rsid w:val="009371C4"/>
    <w:rsid w:val="009371E1"/>
    <w:rsid w:val="00937253"/>
    <w:rsid w:val="00937386"/>
    <w:rsid w:val="009373BD"/>
    <w:rsid w:val="00937467"/>
    <w:rsid w:val="00937541"/>
    <w:rsid w:val="0093777F"/>
    <w:rsid w:val="00937834"/>
    <w:rsid w:val="009378C4"/>
    <w:rsid w:val="00937909"/>
    <w:rsid w:val="009379C2"/>
    <w:rsid w:val="00937A10"/>
    <w:rsid w:val="00937A36"/>
    <w:rsid w:val="00937A43"/>
    <w:rsid w:val="00937B2B"/>
    <w:rsid w:val="00937B31"/>
    <w:rsid w:val="00937CB0"/>
    <w:rsid w:val="00937CB1"/>
    <w:rsid w:val="00937D43"/>
    <w:rsid w:val="00937DB9"/>
    <w:rsid w:val="00937E59"/>
    <w:rsid w:val="009400A5"/>
    <w:rsid w:val="00940216"/>
    <w:rsid w:val="009403E6"/>
    <w:rsid w:val="009404EE"/>
    <w:rsid w:val="00940508"/>
    <w:rsid w:val="009405C4"/>
    <w:rsid w:val="009406D6"/>
    <w:rsid w:val="0094071C"/>
    <w:rsid w:val="00940734"/>
    <w:rsid w:val="00940885"/>
    <w:rsid w:val="00940A62"/>
    <w:rsid w:val="00940F62"/>
    <w:rsid w:val="00941159"/>
    <w:rsid w:val="009412AC"/>
    <w:rsid w:val="009413A9"/>
    <w:rsid w:val="009413D4"/>
    <w:rsid w:val="00941722"/>
    <w:rsid w:val="00941813"/>
    <w:rsid w:val="0094196C"/>
    <w:rsid w:val="00941B47"/>
    <w:rsid w:val="00941B77"/>
    <w:rsid w:val="00941BAB"/>
    <w:rsid w:val="00942002"/>
    <w:rsid w:val="00942178"/>
    <w:rsid w:val="00942295"/>
    <w:rsid w:val="00942619"/>
    <w:rsid w:val="0094289F"/>
    <w:rsid w:val="009428FA"/>
    <w:rsid w:val="00942D79"/>
    <w:rsid w:val="00942D7B"/>
    <w:rsid w:val="00942E92"/>
    <w:rsid w:val="0094331E"/>
    <w:rsid w:val="0094337C"/>
    <w:rsid w:val="009434DA"/>
    <w:rsid w:val="009436B8"/>
    <w:rsid w:val="00943705"/>
    <w:rsid w:val="0094383B"/>
    <w:rsid w:val="0094384A"/>
    <w:rsid w:val="0094399C"/>
    <w:rsid w:val="009439AA"/>
    <w:rsid w:val="009439D5"/>
    <w:rsid w:val="00943B33"/>
    <w:rsid w:val="00943C0B"/>
    <w:rsid w:val="00943CE8"/>
    <w:rsid w:val="00943D53"/>
    <w:rsid w:val="00943EB0"/>
    <w:rsid w:val="00943FB6"/>
    <w:rsid w:val="0094418F"/>
    <w:rsid w:val="009442F4"/>
    <w:rsid w:val="00944797"/>
    <w:rsid w:val="00944861"/>
    <w:rsid w:val="00944A45"/>
    <w:rsid w:val="00944CE5"/>
    <w:rsid w:val="00944E93"/>
    <w:rsid w:val="00944F7E"/>
    <w:rsid w:val="0094504E"/>
    <w:rsid w:val="0094548E"/>
    <w:rsid w:val="00945576"/>
    <w:rsid w:val="00945A5B"/>
    <w:rsid w:val="00945AEE"/>
    <w:rsid w:val="00945B24"/>
    <w:rsid w:val="00945BCA"/>
    <w:rsid w:val="00945D4F"/>
    <w:rsid w:val="00945E2B"/>
    <w:rsid w:val="00945FA7"/>
    <w:rsid w:val="00945FEB"/>
    <w:rsid w:val="00946147"/>
    <w:rsid w:val="00946221"/>
    <w:rsid w:val="00946864"/>
    <w:rsid w:val="00946957"/>
    <w:rsid w:val="00946B67"/>
    <w:rsid w:val="00946B7E"/>
    <w:rsid w:val="00946D19"/>
    <w:rsid w:val="00946DF5"/>
    <w:rsid w:val="009470B7"/>
    <w:rsid w:val="00947130"/>
    <w:rsid w:val="00947261"/>
    <w:rsid w:val="00947301"/>
    <w:rsid w:val="009473A8"/>
    <w:rsid w:val="0094748C"/>
    <w:rsid w:val="00947637"/>
    <w:rsid w:val="009476EC"/>
    <w:rsid w:val="0094781D"/>
    <w:rsid w:val="00947907"/>
    <w:rsid w:val="009479C8"/>
    <w:rsid w:val="00947A23"/>
    <w:rsid w:val="00947A4B"/>
    <w:rsid w:val="00947B1E"/>
    <w:rsid w:val="00947D0D"/>
    <w:rsid w:val="00947DC2"/>
    <w:rsid w:val="00947E02"/>
    <w:rsid w:val="00947E58"/>
    <w:rsid w:val="00950109"/>
    <w:rsid w:val="00950323"/>
    <w:rsid w:val="00950390"/>
    <w:rsid w:val="0095051D"/>
    <w:rsid w:val="00950634"/>
    <w:rsid w:val="00950654"/>
    <w:rsid w:val="00950852"/>
    <w:rsid w:val="009508C6"/>
    <w:rsid w:val="00950AC8"/>
    <w:rsid w:val="00950B06"/>
    <w:rsid w:val="00951518"/>
    <w:rsid w:val="00951584"/>
    <w:rsid w:val="009515B2"/>
    <w:rsid w:val="009515ED"/>
    <w:rsid w:val="00951645"/>
    <w:rsid w:val="009516D6"/>
    <w:rsid w:val="009517D2"/>
    <w:rsid w:val="00951877"/>
    <w:rsid w:val="00951A9A"/>
    <w:rsid w:val="00951D8E"/>
    <w:rsid w:val="00951DEB"/>
    <w:rsid w:val="00951F04"/>
    <w:rsid w:val="0095219C"/>
    <w:rsid w:val="009522F3"/>
    <w:rsid w:val="0095256A"/>
    <w:rsid w:val="009526F9"/>
    <w:rsid w:val="009526FC"/>
    <w:rsid w:val="0095285D"/>
    <w:rsid w:val="00952A5F"/>
    <w:rsid w:val="00952C70"/>
    <w:rsid w:val="00952CA5"/>
    <w:rsid w:val="0095303F"/>
    <w:rsid w:val="0095319E"/>
    <w:rsid w:val="009532AE"/>
    <w:rsid w:val="0095331F"/>
    <w:rsid w:val="00953488"/>
    <w:rsid w:val="00953497"/>
    <w:rsid w:val="00953525"/>
    <w:rsid w:val="0095374E"/>
    <w:rsid w:val="009538C1"/>
    <w:rsid w:val="009539FC"/>
    <w:rsid w:val="00953CB3"/>
    <w:rsid w:val="00953CE0"/>
    <w:rsid w:val="00953E84"/>
    <w:rsid w:val="00954007"/>
    <w:rsid w:val="00954218"/>
    <w:rsid w:val="0095421F"/>
    <w:rsid w:val="00954313"/>
    <w:rsid w:val="00954617"/>
    <w:rsid w:val="0095494B"/>
    <w:rsid w:val="00954AB0"/>
    <w:rsid w:val="00955161"/>
    <w:rsid w:val="00955168"/>
    <w:rsid w:val="00955206"/>
    <w:rsid w:val="00955252"/>
    <w:rsid w:val="00955493"/>
    <w:rsid w:val="009555D7"/>
    <w:rsid w:val="00955865"/>
    <w:rsid w:val="0095588E"/>
    <w:rsid w:val="009559CB"/>
    <w:rsid w:val="00955B13"/>
    <w:rsid w:val="00955CC3"/>
    <w:rsid w:val="00955E5F"/>
    <w:rsid w:val="00956042"/>
    <w:rsid w:val="00956074"/>
    <w:rsid w:val="009563D0"/>
    <w:rsid w:val="0095643B"/>
    <w:rsid w:val="009565BE"/>
    <w:rsid w:val="0095664E"/>
    <w:rsid w:val="00956900"/>
    <w:rsid w:val="0095699E"/>
    <w:rsid w:val="00956BA1"/>
    <w:rsid w:val="00956BFB"/>
    <w:rsid w:val="00956CA0"/>
    <w:rsid w:val="00956CFB"/>
    <w:rsid w:val="00956D70"/>
    <w:rsid w:val="00956E36"/>
    <w:rsid w:val="00956E49"/>
    <w:rsid w:val="00956E6F"/>
    <w:rsid w:val="00956F4F"/>
    <w:rsid w:val="00956FE1"/>
    <w:rsid w:val="00957087"/>
    <w:rsid w:val="009571C4"/>
    <w:rsid w:val="009576F7"/>
    <w:rsid w:val="00957741"/>
    <w:rsid w:val="009579C5"/>
    <w:rsid w:val="00957AC6"/>
    <w:rsid w:val="00957B64"/>
    <w:rsid w:val="00957CA5"/>
    <w:rsid w:val="00957E0A"/>
    <w:rsid w:val="00957EDB"/>
    <w:rsid w:val="009601A6"/>
    <w:rsid w:val="0096028C"/>
    <w:rsid w:val="009604F1"/>
    <w:rsid w:val="009605D7"/>
    <w:rsid w:val="00960785"/>
    <w:rsid w:val="0096087E"/>
    <w:rsid w:val="0096097D"/>
    <w:rsid w:val="0096099B"/>
    <w:rsid w:val="00960B2D"/>
    <w:rsid w:val="00960B48"/>
    <w:rsid w:val="00960CB6"/>
    <w:rsid w:val="00960EB6"/>
    <w:rsid w:val="009610B2"/>
    <w:rsid w:val="009611A5"/>
    <w:rsid w:val="00961288"/>
    <w:rsid w:val="0096132F"/>
    <w:rsid w:val="00961559"/>
    <w:rsid w:val="00961577"/>
    <w:rsid w:val="009616D5"/>
    <w:rsid w:val="009617A9"/>
    <w:rsid w:val="00961B46"/>
    <w:rsid w:val="00961D51"/>
    <w:rsid w:val="00961DD8"/>
    <w:rsid w:val="009622A8"/>
    <w:rsid w:val="0096232F"/>
    <w:rsid w:val="00962331"/>
    <w:rsid w:val="009623DD"/>
    <w:rsid w:val="009625A7"/>
    <w:rsid w:val="00962881"/>
    <w:rsid w:val="00962AB9"/>
    <w:rsid w:val="00962C27"/>
    <w:rsid w:val="00962C44"/>
    <w:rsid w:val="00962C45"/>
    <w:rsid w:val="00962D27"/>
    <w:rsid w:val="00962E4B"/>
    <w:rsid w:val="00962E70"/>
    <w:rsid w:val="00963047"/>
    <w:rsid w:val="009631E7"/>
    <w:rsid w:val="009632F2"/>
    <w:rsid w:val="009633BF"/>
    <w:rsid w:val="009634B9"/>
    <w:rsid w:val="009635B2"/>
    <w:rsid w:val="009635F8"/>
    <w:rsid w:val="009636BA"/>
    <w:rsid w:val="009638AF"/>
    <w:rsid w:val="00963A0B"/>
    <w:rsid w:val="00963ABD"/>
    <w:rsid w:val="00963B16"/>
    <w:rsid w:val="00963C86"/>
    <w:rsid w:val="00963E95"/>
    <w:rsid w:val="00964001"/>
    <w:rsid w:val="00964196"/>
    <w:rsid w:val="0096420B"/>
    <w:rsid w:val="009644ED"/>
    <w:rsid w:val="0096459C"/>
    <w:rsid w:val="00964645"/>
    <w:rsid w:val="009646E5"/>
    <w:rsid w:val="009649A3"/>
    <w:rsid w:val="00964A2C"/>
    <w:rsid w:val="00964C9A"/>
    <w:rsid w:val="00964D60"/>
    <w:rsid w:val="00964DF2"/>
    <w:rsid w:val="00964F13"/>
    <w:rsid w:val="00965117"/>
    <w:rsid w:val="009652C5"/>
    <w:rsid w:val="009653E4"/>
    <w:rsid w:val="009654D5"/>
    <w:rsid w:val="0096554C"/>
    <w:rsid w:val="00965623"/>
    <w:rsid w:val="009656A7"/>
    <w:rsid w:val="00965A0E"/>
    <w:rsid w:val="00965A86"/>
    <w:rsid w:val="00965AA0"/>
    <w:rsid w:val="00965BF7"/>
    <w:rsid w:val="00965C90"/>
    <w:rsid w:val="00965FB2"/>
    <w:rsid w:val="009661A3"/>
    <w:rsid w:val="009663DA"/>
    <w:rsid w:val="0096656B"/>
    <w:rsid w:val="00966593"/>
    <w:rsid w:val="00966683"/>
    <w:rsid w:val="009666AC"/>
    <w:rsid w:val="00966777"/>
    <w:rsid w:val="009667C1"/>
    <w:rsid w:val="009669A0"/>
    <w:rsid w:val="00966A94"/>
    <w:rsid w:val="00966D5C"/>
    <w:rsid w:val="00966DB9"/>
    <w:rsid w:val="00966DDD"/>
    <w:rsid w:val="00966F8D"/>
    <w:rsid w:val="00966F92"/>
    <w:rsid w:val="009671BA"/>
    <w:rsid w:val="00967234"/>
    <w:rsid w:val="00967275"/>
    <w:rsid w:val="009676B6"/>
    <w:rsid w:val="00967811"/>
    <w:rsid w:val="00967892"/>
    <w:rsid w:val="0096789B"/>
    <w:rsid w:val="00967EEB"/>
    <w:rsid w:val="00967FBE"/>
    <w:rsid w:val="00970062"/>
    <w:rsid w:val="00970070"/>
    <w:rsid w:val="009700DC"/>
    <w:rsid w:val="009702A9"/>
    <w:rsid w:val="00970335"/>
    <w:rsid w:val="009703B7"/>
    <w:rsid w:val="0097048F"/>
    <w:rsid w:val="00970659"/>
    <w:rsid w:val="009708F4"/>
    <w:rsid w:val="009709CD"/>
    <w:rsid w:val="00970B76"/>
    <w:rsid w:val="00970C0E"/>
    <w:rsid w:val="00970E18"/>
    <w:rsid w:val="00970F71"/>
    <w:rsid w:val="009711AD"/>
    <w:rsid w:val="00971282"/>
    <w:rsid w:val="009719EC"/>
    <w:rsid w:val="00971ABE"/>
    <w:rsid w:val="00971C4B"/>
    <w:rsid w:val="00971C96"/>
    <w:rsid w:val="00971E5C"/>
    <w:rsid w:val="00971F81"/>
    <w:rsid w:val="00972138"/>
    <w:rsid w:val="0097241F"/>
    <w:rsid w:val="009726E9"/>
    <w:rsid w:val="0097278B"/>
    <w:rsid w:val="00972947"/>
    <w:rsid w:val="00972991"/>
    <w:rsid w:val="00972A7D"/>
    <w:rsid w:val="00972B20"/>
    <w:rsid w:val="00972B21"/>
    <w:rsid w:val="00972B4C"/>
    <w:rsid w:val="00972D50"/>
    <w:rsid w:val="00972DF3"/>
    <w:rsid w:val="00973139"/>
    <w:rsid w:val="009732DD"/>
    <w:rsid w:val="00973415"/>
    <w:rsid w:val="009736DB"/>
    <w:rsid w:val="00973704"/>
    <w:rsid w:val="009737DF"/>
    <w:rsid w:val="00973B0C"/>
    <w:rsid w:val="00973B37"/>
    <w:rsid w:val="00973B82"/>
    <w:rsid w:val="00974003"/>
    <w:rsid w:val="009741FC"/>
    <w:rsid w:val="0097457E"/>
    <w:rsid w:val="009745B0"/>
    <w:rsid w:val="009745F0"/>
    <w:rsid w:val="00974612"/>
    <w:rsid w:val="00974684"/>
    <w:rsid w:val="009746AF"/>
    <w:rsid w:val="009746F4"/>
    <w:rsid w:val="009748B5"/>
    <w:rsid w:val="00974C6D"/>
    <w:rsid w:val="00974DC2"/>
    <w:rsid w:val="009752F1"/>
    <w:rsid w:val="009753A7"/>
    <w:rsid w:val="009753E0"/>
    <w:rsid w:val="00975639"/>
    <w:rsid w:val="00975748"/>
    <w:rsid w:val="00975756"/>
    <w:rsid w:val="00975CD9"/>
    <w:rsid w:val="00975E26"/>
    <w:rsid w:val="00975F89"/>
    <w:rsid w:val="009761D9"/>
    <w:rsid w:val="009763B5"/>
    <w:rsid w:val="0097642B"/>
    <w:rsid w:val="00976432"/>
    <w:rsid w:val="009764C0"/>
    <w:rsid w:val="0097654D"/>
    <w:rsid w:val="00976733"/>
    <w:rsid w:val="009767EC"/>
    <w:rsid w:val="00976862"/>
    <w:rsid w:val="00976A4F"/>
    <w:rsid w:val="00976A78"/>
    <w:rsid w:val="00976C10"/>
    <w:rsid w:val="00976C59"/>
    <w:rsid w:val="00976C6B"/>
    <w:rsid w:val="00976C7A"/>
    <w:rsid w:val="00976C96"/>
    <w:rsid w:val="00976D93"/>
    <w:rsid w:val="00976DC2"/>
    <w:rsid w:val="0097704B"/>
    <w:rsid w:val="009770DE"/>
    <w:rsid w:val="00977101"/>
    <w:rsid w:val="00977141"/>
    <w:rsid w:val="009772E1"/>
    <w:rsid w:val="009772E9"/>
    <w:rsid w:val="009772EB"/>
    <w:rsid w:val="009774A4"/>
    <w:rsid w:val="00977574"/>
    <w:rsid w:val="0097772D"/>
    <w:rsid w:val="00977796"/>
    <w:rsid w:val="009779DE"/>
    <w:rsid w:val="00977AE2"/>
    <w:rsid w:val="00977AEF"/>
    <w:rsid w:val="00977B35"/>
    <w:rsid w:val="00977B63"/>
    <w:rsid w:val="00977BBB"/>
    <w:rsid w:val="00977E6A"/>
    <w:rsid w:val="00977F05"/>
    <w:rsid w:val="00977F4A"/>
    <w:rsid w:val="009803A9"/>
    <w:rsid w:val="00980571"/>
    <w:rsid w:val="00980904"/>
    <w:rsid w:val="00980926"/>
    <w:rsid w:val="00980929"/>
    <w:rsid w:val="00980AE9"/>
    <w:rsid w:val="00980B8E"/>
    <w:rsid w:val="00980D0C"/>
    <w:rsid w:val="00980F14"/>
    <w:rsid w:val="00980FEF"/>
    <w:rsid w:val="009812EF"/>
    <w:rsid w:val="0098138C"/>
    <w:rsid w:val="00981493"/>
    <w:rsid w:val="009816D3"/>
    <w:rsid w:val="009816DA"/>
    <w:rsid w:val="009816FB"/>
    <w:rsid w:val="009817A5"/>
    <w:rsid w:val="00981FAF"/>
    <w:rsid w:val="00982B0D"/>
    <w:rsid w:val="00982B19"/>
    <w:rsid w:val="00982BD0"/>
    <w:rsid w:val="00982CFE"/>
    <w:rsid w:val="00982E29"/>
    <w:rsid w:val="00982E2C"/>
    <w:rsid w:val="00982FC8"/>
    <w:rsid w:val="00983013"/>
    <w:rsid w:val="009832EF"/>
    <w:rsid w:val="00983374"/>
    <w:rsid w:val="00983499"/>
    <w:rsid w:val="00983602"/>
    <w:rsid w:val="009837F7"/>
    <w:rsid w:val="0098388D"/>
    <w:rsid w:val="00983924"/>
    <w:rsid w:val="00983B42"/>
    <w:rsid w:val="00983F26"/>
    <w:rsid w:val="00983F2E"/>
    <w:rsid w:val="0098421D"/>
    <w:rsid w:val="00984340"/>
    <w:rsid w:val="00984366"/>
    <w:rsid w:val="009843FC"/>
    <w:rsid w:val="00984551"/>
    <w:rsid w:val="0098458B"/>
    <w:rsid w:val="0098467B"/>
    <w:rsid w:val="00984914"/>
    <w:rsid w:val="00984A97"/>
    <w:rsid w:val="00984B49"/>
    <w:rsid w:val="00984BC4"/>
    <w:rsid w:val="00984F25"/>
    <w:rsid w:val="00984FE0"/>
    <w:rsid w:val="00985106"/>
    <w:rsid w:val="0098518B"/>
    <w:rsid w:val="00985285"/>
    <w:rsid w:val="0098537A"/>
    <w:rsid w:val="0098548D"/>
    <w:rsid w:val="009856ED"/>
    <w:rsid w:val="009857BB"/>
    <w:rsid w:val="009857EF"/>
    <w:rsid w:val="0098589C"/>
    <w:rsid w:val="009859EC"/>
    <w:rsid w:val="009859FA"/>
    <w:rsid w:val="00985A75"/>
    <w:rsid w:val="00985A8F"/>
    <w:rsid w:val="00985BEC"/>
    <w:rsid w:val="00985D56"/>
    <w:rsid w:val="00985D81"/>
    <w:rsid w:val="00985DC9"/>
    <w:rsid w:val="00985DE5"/>
    <w:rsid w:val="00986337"/>
    <w:rsid w:val="0098641C"/>
    <w:rsid w:val="009865DF"/>
    <w:rsid w:val="0098674C"/>
    <w:rsid w:val="009868F3"/>
    <w:rsid w:val="0098696E"/>
    <w:rsid w:val="00986A55"/>
    <w:rsid w:val="00986F10"/>
    <w:rsid w:val="00987098"/>
    <w:rsid w:val="00987439"/>
    <w:rsid w:val="009876A3"/>
    <w:rsid w:val="0098795B"/>
    <w:rsid w:val="00987BB7"/>
    <w:rsid w:val="00987D74"/>
    <w:rsid w:val="00987E2B"/>
    <w:rsid w:val="00987E74"/>
    <w:rsid w:val="00987EB5"/>
    <w:rsid w:val="00987FC9"/>
    <w:rsid w:val="00990143"/>
    <w:rsid w:val="009901A7"/>
    <w:rsid w:val="009903F0"/>
    <w:rsid w:val="009906FD"/>
    <w:rsid w:val="00990A1F"/>
    <w:rsid w:val="00990C78"/>
    <w:rsid w:val="00990E5C"/>
    <w:rsid w:val="00990EF8"/>
    <w:rsid w:val="00990F4F"/>
    <w:rsid w:val="00990F62"/>
    <w:rsid w:val="00990FFC"/>
    <w:rsid w:val="009910E9"/>
    <w:rsid w:val="009910F2"/>
    <w:rsid w:val="0099121E"/>
    <w:rsid w:val="009912B7"/>
    <w:rsid w:val="009912BE"/>
    <w:rsid w:val="009912C2"/>
    <w:rsid w:val="009912EA"/>
    <w:rsid w:val="009912FA"/>
    <w:rsid w:val="0099152E"/>
    <w:rsid w:val="009916B7"/>
    <w:rsid w:val="00991754"/>
    <w:rsid w:val="0099177F"/>
    <w:rsid w:val="009917E6"/>
    <w:rsid w:val="009918E9"/>
    <w:rsid w:val="009918EB"/>
    <w:rsid w:val="009919B0"/>
    <w:rsid w:val="009919E6"/>
    <w:rsid w:val="00991D28"/>
    <w:rsid w:val="00991D58"/>
    <w:rsid w:val="00992034"/>
    <w:rsid w:val="0099206C"/>
    <w:rsid w:val="00992081"/>
    <w:rsid w:val="009920AE"/>
    <w:rsid w:val="0099211D"/>
    <w:rsid w:val="00992167"/>
    <w:rsid w:val="009921CB"/>
    <w:rsid w:val="00992215"/>
    <w:rsid w:val="0099225E"/>
    <w:rsid w:val="00992263"/>
    <w:rsid w:val="009923E0"/>
    <w:rsid w:val="0099251B"/>
    <w:rsid w:val="00992973"/>
    <w:rsid w:val="00992A97"/>
    <w:rsid w:val="00992B15"/>
    <w:rsid w:val="00992C16"/>
    <w:rsid w:val="00992EF4"/>
    <w:rsid w:val="009931AE"/>
    <w:rsid w:val="00993219"/>
    <w:rsid w:val="009932FB"/>
    <w:rsid w:val="009935C0"/>
    <w:rsid w:val="00993782"/>
    <w:rsid w:val="00993AC6"/>
    <w:rsid w:val="00993B7D"/>
    <w:rsid w:val="00993D2E"/>
    <w:rsid w:val="00994392"/>
    <w:rsid w:val="0099468D"/>
    <w:rsid w:val="0099479D"/>
    <w:rsid w:val="00994A21"/>
    <w:rsid w:val="00994FC9"/>
    <w:rsid w:val="00994FFA"/>
    <w:rsid w:val="0099533B"/>
    <w:rsid w:val="009954E2"/>
    <w:rsid w:val="00995500"/>
    <w:rsid w:val="00995669"/>
    <w:rsid w:val="0099567E"/>
    <w:rsid w:val="009957D8"/>
    <w:rsid w:val="0099583D"/>
    <w:rsid w:val="00995D41"/>
    <w:rsid w:val="00995D57"/>
    <w:rsid w:val="00995D64"/>
    <w:rsid w:val="00996226"/>
    <w:rsid w:val="009962BD"/>
    <w:rsid w:val="00996817"/>
    <w:rsid w:val="00996837"/>
    <w:rsid w:val="0099686D"/>
    <w:rsid w:val="00996A3F"/>
    <w:rsid w:val="00996B4D"/>
    <w:rsid w:val="00996C0F"/>
    <w:rsid w:val="00996C1B"/>
    <w:rsid w:val="00996FE4"/>
    <w:rsid w:val="0099702A"/>
    <w:rsid w:val="009970A1"/>
    <w:rsid w:val="009970A8"/>
    <w:rsid w:val="00997215"/>
    <w:rsid w:val="0099726B"/>
    <w:rsid w:val="00997338"/>
    <w:rsid w:val="0099738D"/>
    <w:rsid w:val="00997397"/>
    <w:rsid w:val="009973E0"/>
    <w:rsid w:val="009976D1"/>
    <w:rsid w:val="00997794"/>
    <w:rsid w:val="009A0005"/>
    <w:rsid w:val="009A039E"/>
    <w:rsid w:val="009A04EB"/>
    <w:rsid w:val="009A08DF"/>
    <w:rsid w:val="009A08E0"/>
    <w:rsid w:val="009A0911"/>
    <w:rsid w:val="009A09E2"/>
    <w:rsid w:val="009A0A9B"/>
    <w:rsid w:val="009A0AB3"/>
    <w:rsid w:val="009A0AF7"/>
    <w:rsid w:val="009A0BB4"/>
    <w:rsid w:val="009A0CC5"/>
    <w:rsid w:val="009A0D25"/>
    <w:rsid w:val="009A0E81"/>
    <w:rsid w:val="009A100D"/>
    <w:rsid w:val="009A10B3"/>
    <w:rsid w:val="009A10BE"/>
    <w:rsid w:val="009A10F3"/>
    <w:rsid w:val="009A11E8"/>
    <w:rsid w:val="009A1219"/>
    <w:rsid w:val="009A1291"/>
    <w:rsid w:val="009A13FD"/>
    <w:rsid w:val="009A198D"/>
    <w:rsid w:val="009A1B41"/>
    <w:rsid w:val="009A1B43"/>
    <w:rsid w:val="009A1B6E"/>
    <w:rsid w:val="009A1CFF"/>
    <w:rsid w:val="009A1EB8"/>
    <w:rsid w:val="009A215E"/>
    <w:rsid w:val="009A22A3"/>
    <w:rsid w:val="009A232F"/>
    <w:rsid w:val="009A2561"/>
    <w:rsid w:val="009A2749"/>
    <w:rsid w:val="009A27D6"/>
    <w:rsid w:val="009A2921"/>
    <w:rsid w:val="009A2B31"/>
    <w:rsid w:val="009A2B53"/>
    <w:rsid w:val="009A2B6F"/>
    <w:rsid w:val="009A2CF9"/>
    <w:rsid w:val="009A2E53"/>
    <w:rsid w:val="009A2F80"/>
    <w:rsid w:val="009A30CE"/>
    <w:rsid w:val="009A3120"/>
    <w:rsid w:val="009A31A6"/>
    <w:rsid w:val="009A3293"/>
    <w:rsid w:val="009A3357"/>
    <w:rsid w:val="009A339F"/>
    <w:rsid w:val="009A3643"/>
    <w:rsid w:val="009A37B4"/>
    <w:rsid w:val="009A3820"/>
    <w:rsid w:val="009A3C38"/>
    <w:rsid w:val="009A3E13"/>
    <w:rsid w:val="009A3E9B"/>
    <w:rsid w:val="009A3F27"/>
    <w:rsid w:val="009A40A6"/>
    <w:rsid w:val="009A438F"/>
    <w:rsid w:val="009A43BE"/>
    <w:rsid w:val="009A44B7"/>
    <w:rsid w:val="009A475B"/>
    <w:rsid w:val="009A4825"/>
    <w:rsid w:val="009A49DE"/>
    <w:rsid w:val="009A49E5"/>
    <w:rsid w:val="009A4B78"/>
    <w:rsid w:val="009A4BF0"/>
    <w:rsid w:val="009A4DDA"/>
    <w:rsid w:val="009A4EDF"/>
    <w:rsid w:val="009A5013"/>
    <w:rsid w:val="009A5026"/>
    <w:rsid w:val="009A52CD"/>
    <w:rsid w:val="009A56F4"/>
    <w:rsid w:val="009A5832"/>
    <w:rsid w:val="009A5B55"/>
    <w:rsid w:val="009A5DFE"/>
    <w:rsid w:val="009A5E21"/>
    <w:rsid w:val="009A5F42"/>
    <w:rsid w:val="009A5FEC"/>
    <w:rsid w:val="009A605F"/>
    <w:rsid w:val="009A619F"/>
    <w:rsid w:val="009A6242"/>
    <w:rsid w:val="009A62FE"/>
    <w:rsid w:val="009A6324"/>
    <w:rsid w:val="009A63F4"/>
    <w:rsid w:val="009A65C9"/>
    <w:rsid w:val="009A6671"/>
    <w:rsid w:val="009A68BC"/>
    <w:rsid w:val="009A6B36"/>
    <w:rsid w:val="009A6D76"/>
    <w:rsid w:val="009A6D85"/>
    <w:rsid w:val="009A6E3E"/>
    <w:rsid w:val="009A7082"/>
    <w:rsid w:val="009A70BA"/>
    <w:rsid w:val="009A73EF"/>
    <w:rsid w:val="009A7894"/>
    <w:rsid w:val="009A792C"/>
    <w:rsid w:val="009A794B"/>
    <w:rsid w:val="009A7C30"/>
    <w:rsid w:val="009A7EBA"/>
    <w:rsid w:val="009B0091"/>
    <w:rsid w:val="009B010B"/>
    <w:rsid w:val="009B01C0"/>
    <w:rsid w:val="009B0242"/>
    <w:rsid w:val="009B02E0"/>
    <w:rsid w:val="009B03E9"/>
    <w:rsid w:val="009B055A"/>
    <w:rsid w:val="009B0704"/>
    <w:rsid w:val="009B079E"/>
    <w:rsid w:val="009B0A2B"/>
    <w:rsid w:val="009B0A57"/>
    <w:rsid w:val="009B0AC7"/>
    <w:rsid w:val="009B0C01"/>
    <w:rsid w:val="009B0F55"/>
    <w:rsid w:val="009B0FF0"/>
    <w:rsid w:val="009B1088"/>
    <w:rsid w:val="009B12AF"/>
    <w:rsid w:val="009B13F1"/>
    <w:rsid w:val="009B143F"/>
    <w:rsid w:val="009B1442"/>
    <w:rsid w:val="009B15FE"/>
    <w:rsid w:val="009B1634"/>
    <w:rsid w:val="009B1647"/>
    <w:rsid w:val="009B1739"/>
    <w:rsid w:val="009B1DCA"/>
    <w:rsid w:val="009B1F1B"/>
    <w:rsid w:val="009B1FDC"/>
    <w:rsid w:val="009B2A28"/>
    <w:rsid w:val="009B2A74"/>
    <w:rsid w:val="009B2CA5"/>
    <w:rsid w:val="009B2CA6"/>
    <w:rsid w:val="009B2F34"/>
    <w:rsid w:val="009B2FBD"/>
    <w:rsid w:val="009B3140"/>
    <w:rsid w:val="009B332B"/>
    <w:rsid w:val="009B3756"/>
    <w:rsid w:val="009B3C38"/>
    <w:rsid w:val="009B3CF6"/>
    <w:rsid w:val="009B3E6A"/>
    <w:rsid w:val="009B420D"/>
    <w:rsid w:val="009B4346"/>
    <w:rsid w:val="009B4575"/>
    <w:rsid w:val="009B4641"/>
    <w:rsid w:val="009B483E"/>
    <w:rsid w:val="009B48E8"/>
    <w:rsid w:val="009B4A50"/>
    <w:rsid w:val="009B4B41"/>
    <w:rsid w:val="009B4B67"/>
    <w:rsid w:val="009B4C7A"/>
    <w:rsid w:val="009B4D35"/>
    <w:rsid w:val="009B4D5B"/>
    <w:rsid w:val="009B4D72"/>
    <w:rsid w:val="009B4DB2"/>
    <w:rsid w:val="009B4DE4"/>
    <w:rsid w:val="009B4E97"/>
    <w:rsid w:val="009B50A6"/>
    <w:rsid w:val="009B5162"/>
    <w:rsid w:val="009B5567"/>
    <w:rsid w:val="009B5575"/>
    <w:rsid w:val="009B569E"/>
    <w:rsid w:val="009B5721"/>
    <w:rsid w:val="009B5740"/>
    <w:rsid w:val="009B59C4"/>
    <w:rsid w:val="009B5DEB"/>
    <w:rsid w:val="009B5DF0"/>
    <w:rsid w:val="009B5E6E"/>
    <w:rsid w:val="009B5F4F"/>
    <w:rsid w:val="009B6053"/>
    <w:rsid w:val="009B60CF"/>
    <w:rsid w:val="009B618D"/>
    <w:rsid w:val="009B63F2"/>
    <w:rsid w:val="009B64AC"/>
    <w:rsid w:val="009B64AF"/>
    <w:rsid w:val="009B64F6"/>
    <w:rsid w:val="009B6531"/>
    <w:rsid w:val="009B6668"/>
    <w:rsid w:val="009B6755"/>
    <w:rsid w:val="009B6A74"/>
    <w:rsid w:val="009B6B35"/>
    <w:rsid w:val="009B6BFD"/>
    <w:rsid w:val="009B6C6B"/>
    <w:rsid w:val="009B6D00"/>
    <w:rsid w:val="009B6D55"/>
    <w:rsid w:val="009B6D7C"/>
    <w:rsid w:val="009B6DA2"/>
    <w:rsid w:val="009B6F7B"/>
    <w:rsid w:val="009B6F93"/>
    <w:rsid w:val="009B7177"/>
    <w:rsid w:val="009B71C3"/>
    <w:rsid w:val="009B728F"/>
    <w:rsid w:val="009B7425"/>
    <w:rsid w:val="009B773C"/>
    <w:rsid w:val="009B7B45"/>
    <w:rsid w:val="009B7C03"/>
    <w:rsid w:val="009B7CDD"/>
    <w:rsid w:val="009B7D51"/>
    <w:rsid w:val="009B7D96"/>
    <w:rsid w:val="009B7EBE"/>
    <w:rsid w:val="009C0121"/>
    <w:rsid w:val="009C01F9"/>
    <w:rsid w:val="009C062D"/>
    <w:rsid w:val="009C0693"/>
    <w:rsid w:val="009C06CE"/>
    <w:rsid w:val="009C0858"/>
    <w:rsid w:val="009C087C"/>
    <w:rsid w:val="009C08CA"/>
    <w:rsid w:val="009C0920"/>
    <w:rsid w:val="009C0978"/>
    <w:rsid w:val="009C0A25"/>
    <w:rsid w:val="009C0B2E"/>
    <w:rsid w:val="009C0BE9"/>
    <w:rsid w:val="009C11DB"/>
    <w:rsid w:val="009C1648"/>
    <w:rsid w:val="009C1721"/>
    <w:rsid w:val="009C21F0"/>
    <w:rsid w:val="009C222A"/>
    <w:rsid w:val="009C22DE"/>
    <w:rsid w:val="009C2387"/>
    <w:rsid w:val="009C23AA"/>
    <w:rsid w:val="009C23DC"/>
    <w:rsid w:val="009C2577"/>
    <w:rsid w:val="009C2AA1"/>
    <w:rsid w:val="009C2EDB"/>
    <w:rsid w:val="009C2F7E"/>
    <w:rsid w:val="009C334E"/>
    <w:rsid w:val="009C35AC"/>
    <w:rsid w:val="009C35EA"/>
    <w:rsid w:val="009C3603"/>
    <w:rsid w:val="009C399A"/>
    <w:rsid w:val="009C3B22"/>
    <w:rsid w:val="009C3E33"/>
    <w:rsid w:val="009C3E97"/>
    <w:rsid w:val="009C4113"/>
    <w:rsid w:val="009C41FA"/>
    <w:rsid w:val="009C4305"/>
    <w:rsid w:val="009C44DA"/>
    <w:rsid w:val="009C45C9"/>
    <w:rsid w:val="009C4644"/>
    <w:rsid w:val="009C46AC"/>
    <w:rsid w:val="009C4764"/>
    <w:rsid w:val="009C4ADC"/>
    <w:rsid w:val="009C4CE7"/>
    <w:rsid w:val="009C4DB1"/>
    <w:rsid w:val="009C5025"/>
    <w:rsid w:val="009C548F"/>
    <w:rsid w:val="009C5743"/>
    <w:rsid w:val="009C580E"/>
    <w:rsid w:val="009C5A19"/>
    <w:rsid w:val="009C5A7A"/>
    <w:rsid w:val="009C5C93"/>
    <w:rsid w:val="009C5CB5"/>
    <w:rsid w:val="009C5D60"/>
    <w:rsid w:val="009C5EAC"/>
    <w:rsid w:val="009C6334"/>
    <w:rsid w:val="009C63D1"/>
    <w:rsid w:val="009C64BC"/>
    <w:rsid w:val="009C654A"/>
    <w:rsid w:val="009C65DF"/>
    <w:rsid w:val="009C66A4"/>
    <w:rsid w:val="009C689F"/>
    <w:rsid w:val="009C68F6"/>
    <w:rsid w:val="009C6B18"/>
    <w:rsid w:val="009C6C91"/>
    <w:rsid w:val="009C6CAC"/>
    <w:rsid w:val="009C6CE4"/>
    <w:rsid w:val="009C6E98"/>
    <w:rsid w:val="009C6F21"/>
    <w:rsid w:val="009C6F64"/>
    <w:rsid w:val="009C73DB"/>
    <w:rsid w:val="009C743C"/>
    <w:rsid w:val="009C7488"/>
    <w:rsid w:val="009C7569"/>
    <w:rsid w:val="009C7648"/>
    <w:rsid w:val="009C77F9"/>
    <w:rsid w:val="009C7936"/>
    <w:rsid w:val="009C7AD4"/>
    <w:rsid w:val="009C7BD3"/>
    <w:rsid w:val="009C7DC6"/>
    <w:rsid w:val="009C7E5F"/>
    <w:rsid w:val="009C7EC6"/>
    <w:rsid w:val="009D0211"/>
    <w:rsid w:val="009D0212"/>
    <w:rsid w:val="009D0295"/>
    <w:rsid w:val="009D0374"/>
    <w:rsid w:val="009D037A"/>
    <w:rsid w:val="009D038E"/>
    <w:rsid w:val="009D0653"/>
    <w:rsid w:val="009D07D4"/>
    <w:rsid w:val="009D099C"/>
    <w:rsid w:val="009D0C66"/>
    <w:rsid w:val="009D0D54"/>
    <w:rsid w:val="009D0DB6"/>
    <w:rsid w:val="009D0E5F"/>
    <w:rsid w:val="009D0FA4"/>
    <w:rsid w:val="009D1159"/>
    <w:rsid w:val="009D1535"/>
    <w:rsid w:val="009D195E"/>
    <w:rsid w:val="009D1982"/>
    <w:rsid w:val="009D1A85"/>
    <w:rsid w:val="009D1CB8"/>
    <w:rsid w:val="009D1E1E"/>
    <w:rsid w:val="009D2292"/>
    <w:rsid w:val="009D22AA"/>
    <w:rsid w:val="009D2398"/>
    <w:rsid w:val="009D25DE"/>
    <w:rsid w:val="009D260C"/>
    <w:rsid w:val="009D2C50"/>
    <w:rsid w:val="009D2C8A"/>
    <w:rsid w:val="009D2EE0"/>
    <w:rsid w:val="009D31C2"/>
    <w:rsid w:val="009D3331"/>
    <w:rsid w:val="009D3583"/>
    <w:rsid w:val="009D3639"/>
    <w:rsid w:val="009D3909"/>
    <w:rsid w:val="009D3AB6"/>
    <w:rsid w:val="009D3BB4"/>
    <w:rsid w:val="009D3CD6"/>
    <w:rsid w:val="009D3D22"/>
    <w:rsid w:val="009D3E1A"/>
    <w:rsid w:val="009D3FF4"/>
    <w:rsid w:val="009D4125"/>
    <w:rsid w:val="009D426C"/>
    <w:rsid w:val="009D43FE"/>
    <w:rsid w:val="009D4481"/>
    <w:rsid w:val="009D4935"/>
    <w:rsid w:val="009D4AF3"/>
    <w:rsid w:val="009D4CA4"/>
    <w:rsid w:val="009D4D59"/>
    <w:rsid w:val="009D4E97"/>
    <w:rsid w:val="009D5556"/>
    <w:rsid w:val="009D55EA"/>
    <w:rsid w:val="009D5861"/>
    <w:rsid w:val="009D5A31"/>
    <w:rsid w:val="009D5A44"/>
    <w:rsid w:val="009D5ACE"/>
    <w:rsid w:val="009D5BFD"/>
    <w:rsid w:val="009D5CBF"/>
    <w:rsid w:val="009D6166"/>
    <w:rsid w:val="009D621D"/>
    <w:rsid w:val="009D6684"/>
    <w:rsid w:val="009D6815"/>
    <w:rsid w:val="009D6851"/>
    <w:rsid w:val="009D6C9E"/>
    <w:rsid w:val="009D7094"/>
    <w:rsid w:val="009D70AC"/>
    <w:rsid w:val="009D7180"/>
    <w:rsid w:val="009D7196"/>
    <w:rsid w:val="009D720C"/>
    <w:rsid w:val="009D7350"/>
    <w:rsid w:val="009D759B"/>
    <w:rsid w:val="009D77CC"/>
    <w:rsid w:val="009D792A"/>
    <w:rsid w:val="009D7AC1"/>
    <w:rsid w:val="009D7B85"/>
    <w:rsid w:val="009D7C8B"/>
    <w:rsid w:val="009D7E59"/>
    <w:rsid w:val="009E0402"/>
    <w:rsid w:val="009E07CC"/>
    <w:rsid w:val="009E08D9"/>
    <w:rsid w:val="009E0953"/>
    <w:rsid w:val="009E0A62"/>
    <w:rsid w:val="009E0A6D"/>
    <w:rsid w:val="009E0E5C"/>
    <w:rsid w:val="009E1065"/>
    <w:rsid w:val="009E1273"/>
    <w:rsid w:val="009E13F3"/>
    <w:rsid w:val="009E1442"/>
    <w:rsid w:val="009E14DE"/>
    <w:rsid w:val="009E1858"/>
    <w:rsid w:val="009E18E0"/>
    <w:rsid w:val="009E197D"/>
    <w:rsid w:val="009E1B21"/>
    <w:rsid w:val="009E1D1B"/>
    <w:rsid w:val="009E1D86"/>
    <w:rsid w:val="009E1EF9"/>
    <w:rsid w:val="009E26E0"/>
    <w:rsid w:val="009E289A"/>
    <w:rsid w:val="009E29CD"/>
    <w:rsid w:val="009E2CB1"/>
    <w:rsid w:val="009E2D1D"/>
    <w:rsid w:val="009E2D2F"/>
    <w:rsid w:val="009E2D33"/>
    <w:rsid w:val="009E2F1B"/>
    <w:rsid w:val="009E3022"/>
    <w:rsid w:val="009E3191"/>
    <w:rsid w:val="009E31F0"/>
    <w:rsid w:val="009E31F8"/>
    <w:rsid w:val="009E343B"/>
    <w:rsid w:val="009E3481"/>
    <w:rsid w:val="009E3574"/>
    <w:rsid w:val="009E35FD"/>
    <w:rsid w:val="009E369E"/>
    <w:rsid w:val="009E4101"/>
    <w:rsid w:val="009E4144"/>
    <w:rsid w:val="009E421F"/>
    <w:rsid w:val="009E439B"/>
    <w:rsid w:val="009E4409"/>
    <w:rsid w:val="009E445A"/>
    <w:rsid w:val="009E4736"/>
    <w:rsid w:val="009E48C6"/>
    <w:rsid w:val="009E4A2A"/>
    <w:rsid w:val="009E4B90"/>
    <w:rsid w:val="009E4E20"/>
    <w:rsid w:val="009E4EF4"/>
    <w:rsid w:val="009E4F1A"/>
    <w:rsid w:val="009E52EA"/>
    <w:rsid w:val="009E53B7"/>
    <w:rsid w:val="009E5858"/>
    <w:rsid w:val="009E5A4E"/>
    <w:rsid w:val="009E5AD0"/>
    <w:rsid w:val="009E5BC9"/>
    <w:rsid w:val="009E5D40"/>
    <w:rsid w:val="009E5DA2"/>
    <w:rsid w:val="009E5DDE"/>
    <w:rsid w:val="009E5F18"/>
    <w:rsid w:val="009E5F4C"/>
    <w:rsid w:val="009E61F4"/>
    <w:rsid w:val="009E6225"/>
    <w:rsid w:val="009E623F"/>
    <w:rsid w:val="009E6281"/>
    <w:rsid w:val="009E6344"/>
    <w:rsid w:val="009E6523"/>
    <w:rsid w:val="009E6554"/>
    <w:rsid w:val="009E65C9"/>
    <w:rsid w:val="009E65DE"/>
    <w:rsid w:val="009E67C1"/>
    <w:rsid w:val="009E686D"/>
    <w:rsid w:val="009E693C"/>
    <w:rsid w:val="009E6EE9"/>
    <w:rsid w:val="009E6FB4"/>
    <w:rsid w:val="009E7110"/>
    <w:rsid w:val="009E71C1"/>
    <w:rsid w:val="009E759E"/>
    <w:rsid w:val="009E7767"/>
    <w:rsid w:val="009E7F06"/>
    <w:rsid w:val="009E7F19"/>
    <w:rsid w:val="009F0001"/>
    <w:rsid w:val="009F0165"/>
    <w:rsid w:val="009F0459"/>
    <w:rsid w:val="009F06A0"/>
    <w:rsid w:val="009F07D9"/>
    <w:rsid w:val="009F0959"/>
    <w:rsid w:val="009F0A73"/>
    <w:rsid w:val="009F0AAE"/>
    <w:rsid w:val="009F0B8A"/>
    <w:rsid w:val="009F0DDF"/>
    <w:rsid w:val="009F0E4D"/>
    <w:rsid w:val="009F11A4"/>
    <w:rsid w:val="009F11C9"/>
    <w:rsid w:val="009F12A2"/>
    <w:rsid w:val="009F1515"/>
    <w:rsid w:val="009F1527"/>
    <w:rsid w:val="009F1808"/>
    <w:rsid w:val="009F19AD"/>
    <w:rsid w:val="009F1B65"/>
    <w:rsid w:val="009F2079"/>
    <w:rsid w:val="009F2193"/>
    <w:rsid w:val="009F2227"/>
    <w:rsid w:val="009F2298"/>
    <w:rsid w:val="009F2406"/>
    <w:rsid w:val="009F2778"/>
    <w:rsid w:val="009F278B"/>
    <w:rsid w:val="009F27B0"/>
    <w:rsid w:val="009F2870"/>
    <w:rsid w:val="009F2877"/>
    <w:rsid w:val="009F296B"/>
    <w:rsid w:val="009F2BB1"/>
    <w:rsid w:val="009F2C35"/>
    <w:rsid w:val="009F2CBE"/>
    <w:rsid w:val="009F2CCC"/>
    <w:rsid w:val="009F2D19"/>
    <w:rsid w:val="009F2DD9"/>
    <w:rsid w:val="009F2E38"/>
    <w:rsid w:val="009F2EEC"/>
    <w:rsid w:val="009F2FFD"/>
    <w:rsid w:val="009F303F"/>
    <w:rsid w:val="009F3073"/>
    <w:rsid w:val="009F316C"/>
    <w:rsid w:val="009F321A"/>
    <w:rsid w:val="009F3321"/>
    <w:rsid w:val="009F34CF"/>
    <w:rsid w:val="009F352D"/>
    <w:rsid w:val="009F3530"/>
    <w:rsid w:val="009F363E"/>
    <w:rsid w:val="009F3740"/>
    <w:rsid w:val="009F388E"/>
    <w:rsid w:val="009F3AB3"/>
    <w:rsid w:val="009F3F8D"/>
    <w:rsid w:val="009F454E"/>
    <w:rsid w:val="009F4A2E"/>
    <w:rsid w:val="009F4C02"/>
    <w:rsid w:val="009F4C03"/>
    <w:rsid w:val="009F4D19"/>
    <w:rsid w:val="009F4E28"/>
    <w:rsid w:val="009F4E95"/>
    <w:rsid w:val="009F5083"/>
    <w:rsid w:val="009F5227"/>
    <w:rsid w:val="009F5681"/>
    <w:rsid w:val="009F57FC"/>
    <w:rsid w:val="009F5AD3"/>
    <w:rsid w:val="009F5AEB"/>
    <w:rsid w:val="009F5C23"/>
    <w:rsid w:val="009F5C4D"/>
    <w:rsid w:val="009F5D49"/>
    <w:rsid w:val="009F5D66"/>
    <w:rsid w:val="009F5F90"/>
    <w:rsid w:val="009F606A"/>
    <w:rsid w:val="009F60E6"/>
    <w:rsid w:val="009F6109"/>
    <w:rsid w:val="009F63A1"/>
    <w:rsid w:val="009F6654"/>
    <w:rsid w:val="009F66C2"/>
    <w:rsid w:val="009F68B4"/>
    <w:rsid w:val="009F69DC"/>
    <w:rsid w:val="009F6A2D"/>
    <w:rsid w:val="009F6A32"/>
    <w:rsid w:val="009F6DAF"/>
    <w:rsid w:val="009F6EC4"/>
    <w:rsid w:val="009F6EE6"/>
    <w:rsid w:val="009F6F52"/>
    <w:rsid w:val="009F704C"/>
    <w:rsid w:val="009F7292"/>
    <w:rsid w:val="009F72A3"/>
    <w:rsid w:val="009F72BA"/>
    <w:rsid w:val="009F7413"/>
    <w:rsid w:val="009F74D2"/>
    <w:rsid w:val="009F7820"/>
    <w:rsid w:val="009F786B"/>
    <w:rsid w:val="009F7CC7"/>
    <w:rsid w:val="009F7FB1"/>
    <w:rsid w:val="00A000EC"/>
    <w:rsid w:val="00A00410"/>
    <w:rsid w:val="00A004B4"/>
    <w:rsid w:val="00A00539"/>
    <w:rsid w:val="00A0053D"/>
    <w:rsid w:val="00A005B6"/>
    <w:rsid w:val="00A00792"/>
    <w:rsid w:val="00A00825"/>
    <w:rsid w:val="00A008B1"/>
    <w:rsid w:val="00A008EF"/>
    <w:rsid w:val="00A0093C"/>
    <w:rsid w:val="00A0096A"/>
    <w:rsid w:val="00A00988"/>
    <w:rsid w:val="00A00998"/>
    <w:rsid w:val="00A00A53"/>
    <w:rsid w:val="00A00BEF"/>
    <w:rsid w:val="00A00C28"/>
    <w:rsid w:val="00A00C79"/>
    <w:rsid w:val="00A00CCF"/>
    <w:rsid w:val="00A00D4B"/>
    <w:rsid w:val="00A00E28"/>
    <w:rsid w:val="00A00EB6"/>
    <w:rsid w:val="00A00F49"/>
    <w:rsid w:val="00A0120E"/>
    <w:rsid w:val="00A01271"/>
    <w:rsid w:val="00A013C7"/>
    <w:rsid w:val="00A01579"/>
    <w:rsid w:val="00A015C3"/>
    <w:rsid w:val="00A018B5"/>
    <w:rsid w:val="00A01CD4"/>
    <w:rsid w:val="00A01EE8"/>
    <w:rsid w:val="00A020C8"/>
    <w:rsid w:val="00A02104"/>
    <w:rsid w:val="00A022AB"/>
    <w:rsid w:val="00A023CE"/>
    <w:rsid w:val="00A0266B"/>
    <w:rsid w:val="00A028FC"/>
    <w:rsid w:val="00A02902"/>
    <w:rsid w:val="00A029DB"/>
    <w:rsid w:val="00A02A57"/>
    <w:rsid w:val="00A02A9B"/>
    <w:rsid w:val="00A02DC7"/>
    <w:rsid w:val="00A02F16"/>
    <w:rsid w:val="00A03395"/>
    <w:rsid w:val="00A03455"/>
    <w:rsid w:val="00A0367D"/>
    <w:rsid w:val="00A03704"/>
    <w:rsid w:val="00A03A16"/>
    <w:rsid w:val="00A03A59"/>
    <w:rsid w:val="00A03BEF"/>
    <w:rsid w:val="00A04259"/>
    <w:rsid w:val="00A0436A"/>
    <w:rsid w:val="00A04447"/>
    <w:rsid w:val="00A0479F"/>
    <w:rsid w:val="00A049FC"/>
    <w:rsid w:val="00A04A33"/>
    <w:rsid w:val="00A04B9F"/>
    <w:rsid w:val="00A04C8C"/>
    <w:rsid w:val="00A04D32"/>
    <w:rsid w:val="00A04E03"/>
    <w:rsid w:val="00A04F42"/>
    <w:rsid w:val="00A04FC4"/>
    <w:rsid w:val="00A04FD2"/>
    <w:rsid w:val="00A05117"/>
    <w:rsid w:val="00A052A6"/>
    <w:rsid w:val="00A054EB"/>
    <w:rsid w:val="00A054F6"/>
    <w:rsid w:val="00A056C1"/>
    <w:rsid w:val="00A0589D"/>
    <w:rsid w:val="00A05A5C"/>
    <w:rsid w:val="00A05B87"/>
    <w:rsid w:val="00A05BDC"/>
    <w:rsid w:val="00A05C7B"/>
    <w:rsid w:val="00A060F0"/>
    <w:rsid w:val="00A060F3"/>
    <w:rsid w:val="00A06222"/>
    <w:rsid w:val="00A06239"/>
    <w:rsid w:val="00A062C7"/>
    <w:rsid w:val="00A064A5"/>
    <w:rsid w:val="00A065C9"/>
    <w:rsid w:val="00A06600"/>
    <w:rsid w:val="00A06A30"/>
    <w:rsid w:val="00A06A66"/>
    <w:rsid w:val="00A06A7A"/>
    <w:rsid w:val="00A06D25"/>
    <w:rsid w:val="00A06D96"/>
    <w:rsid w:val="00A07182"/>
    <w:rsid w:val="00A0729F"/>
    <w:rsid w:val="00A074CA"/>
    <w:rsid w:val="00A0774B"/>
    <w:rsid w:val="00A0778A"/>
    <w:rsid w:val="00A078DE"/>
    <w:rsid w:val="00A07A88"/>
    <w:rsid w:val="00A07BFB"/>
    <w:rsid w:val="00A07D55"/>
    <w:rsid w:val="00A07DE0"/>
    <w:rsid w:val="00A07DE5"/>
    <w:rsid w:val="00A07E47"/>
    <w:rsid w:val="00A10046"/>
    <w:rsid w:val="00A1018C"/>
    <w:rsid w:val="00A10213"/>
    <w:rsid w:val="00A10233"/>
    <w:rsid w:val="00A1040D"/>
    <w:rsid w:val="00A1064E"/>
    <w:rsid w:val="00A1096F"/>
    <w:rsid w:val="00A10B72"/>
    <w:rsid w:val="00A10CF5"/>
    <w:rsid w:val="00A10E77"/>
    <w:rsid w:val="00A10F11"/>
    <w:rsid w:val="00A11026"/>
    <w:rsid w:val="00A1110A"/>
    <w:rsid w:val="00A1124B"/>
    <w:rsid w:val="00A11595"/>
    <w:rsid w:val="00A11615"/>
    <w:rsid w:val="00A117B2"/>
    <w:rsid w:val="00A11950"/>
    <w:rsid w:val="00A119ED"/>
    <w:rsid w:val="00A11A91"/>
    <w:rsid w:val="00A11C48"/>
    <w:rsid w:val="00A11F68"/>
    <w:rsid w:val="00A122E7"/>
    <w:rsid w:val="00A12352"/>
    <w:rsid w:val="00A1235D"/>
    <w:rsid w:val="00A12450"/>
    <w:rsid w:val="00A126A1"/>
    <w:rsid w:val="00A126A5"/>
    <w:rsid w:val="00A12780"/>
    <w:rsid w:val="00A1287F"/>
    <w:rsid w:val="00A12900"/>
    <w:rsid w:val="00A12B58"/>
    <w:rsid w:val="00A12B94"/>
    <w:rsid w:val="00A12DDA"/>
    <w:rsid w:val="00A13195"/>
    <w:rsid w:val="00A131BA"/>
    <w:rsid w:val="00A131FF"/>
    <w:rsid w:val="00A132FB"/>
    <w:rsid w:val="00A13564"/>
    <w:rsid w:val="00A1363D"/>
    <w:rsid w:val="00A1392A"/>
    <w:rsid w:val="00A1395D"/>
    <w:rsid w:val="00A139B4"/>
    <w:rsid w:val="00A13EC7"/>
    <w:rsid w:val="00A13FC1"/>
    <w:rsid w:val="00A14362"/>
    <w:rsid w:val="00A1482E"/>
    <w:rsid w:val="00A14AC7"/>
    <w:rsid w:val="00A14ADB"/>
    <w:rsid w:val="00A14AE3"/>
    <w:rsid w:val="00A14C41"/>
    <w:rsid w:val="00A150C9"/>
    <w:rsid w:val="00A1529B"/>
    <w:rsid w:val="00A15321"/>
    <w:rsid w:val="00A15392"/>
    <w:rsid w:val="00A15534"/>
    <w:rsid w:val="00A1559B"/>
    <w:rsid w:val="00A15657"/>
    <w:rsid w:val="00A15719"/>
    <w:rsid w:val="00A15793"/>
    <w:rsid w:val="00A1581A"/>
    <w:rsid w:val="00A15967"/>
    <w:rsid w:val="00A15A60"/>
    <w:rsid w:val="00A15AF3"/>
    <w:rsid w:val="00A15D3D"/>
    <w:rsid w:val="00A15DAA"/>
    <w:rsid w:val="00A15E1F"/>
    <w:rsid w:val="00A15F39"/>
    <w:rsid w:val="00A160AF"/>
    <w:rsid w:val="00A16289"/>
    <w:rsid w:val="00A1673B"/>
    <w:rsid w:val="00A167FE"/>
    <w:rsid w:val="00A1680C"/>
    <w:rsid w:val="00A169A5"/>
    <w:rsid w:val="00A16A79"/>
    <w:rsid w:val="00A16BEB"/>
    <w:rsid w:val="00A16D1D"/>
    <w:rsid w:val="00A16F78"/>
    <w:rsid w:val="00A16F7D"/>
    <w:rsid w:val="00A17673"/>
    <w:rsid w:val="00A1794A"/>
    <w:rsid w:val="00A17985"/>
    <w:rsid w:val="00A179BB"/>
    <w:rsid w:val="00A17BB0"/>
    <w:rsid w:val="00A17C27"/>
    <w:rsid w:val="00A17CD6"/>
    <w:rsid w:val="00A17D62"/>
    <w:rsid w:val="00A17D6D"/>
    <w:rsid w:val="00A17ED5"/>
    <w:rsid w:val="00A17F63"/>
    <w:rsid w:val="00A17FDA"/>
    <w:rsid w:val="00A2027C"/>
    <w:rsid w:val="00A2031B"/>
    <w:rsid w:val="00A2067E"/>
    <w:rsid w:val="00A20863"/>
    <w:rsid w:val="00A20A8E"/>
    <w:rsid w:val="00A20C81"/>
    <w:rsid w:val="00A20CCF"/>
    <w:rsid w:val="00A20DFD"/>
    <w:rsid w:val="00A21157"/>
    <w:rsid w:val="00A2141C"/>
    <w:rsid w:val="00A2151E"/>
    <w:rsid w:val="00A216FA"/>
    <w:rsid w:val="00A21B9F"/>
    <w:rsid w:val="00A21BBB"/>
    <w:rsid w:val="00A21E62"/>
    <w:rsid w:val="00A22042"/>
    <w:rsid w:val="00A220C1"/>
    <w:rsid w:val="00A2220C"/>
    <w:rsid w:val="00A223AF"/>
    <w:rsid w:val="00A223E3"/>
    <w:rsid w:val="00A225B9"/>
    <w:rsid w:val="00A226D7"/>
    <w:rsid w:val="00A2280C"/>
    <w:rsid w:val="00A229E8"/>
    <w:rsid w:val="00A22AA4"/>
    <w:rsid w:val="00A22AE8"/>
    <w:rsid w:val="00A22B6D"/>
    <w:rsid w:val="00A22E2A"/>
    <w:rsid w:val="00A2310D"/>
    <w:rsid w:val="00A2336A"/>
    <w:rsid w:val="00A2339B"/>
    <w:rsid w:val="00A233C8"/>
    <w:rsid w:val="00A2341A"/>
    <w:rsid w:val="00A2346F"/>
    <w:rsid w:val="00A23484"/>
    <w:rsid w:val="00A23BCE"/>
    <w:rsid w:val="00A23BDC"/>
    <w:rsid w:val="00A23C2B"/>
    <w:rsid w:val="00A23E59"/>
    <w:rsid w:val="00A23EAA"/>
    <w:rsid w:val="00A23EB4"/>
    <w:rsid w:val="00A23FAF"/>
    <w:rsid w:val="00A241DE"/>
    <w:rsid w:val="00A24235"/>
    <w:rsid w:val="00A2446D"/>
    <w:rsid w:val="00A245D6"/>
    <w:rsid w:val="00A2461A"/>
    <w:rsid w:val="00A24951"/>
    <w:rsid w:val="00A24BA7"/>
    <w:rsid w:val="00A24D4E"/>
    <w:rsid w:val="00A24D91"/>
    <w:rsid w:val="00A251FA"/>
    <w:rsid w:val="00A25356"/>
    <w:rsid w:val="00A25442"/>
    <w:rsid w:val="00A254A7"/>
    <w:rsid w:val="00A254EF"/>
    <w:rsid w:val="00A255D8"/>
    <w:rsid w:val="00A255FF"/>
    <w:rsid w:val="00A25AD9"/>
    <w:rsid w:val="00A25DA8"/>
    <w:rsid w:val="00A25E2D"/>
    <w:rsid w:val="00A25EAB"/>
    <w:rsid w:val="00A25F1C"/>
    <w:rsid w:val="00A25F20"/>
    <w:rsid w:val="00A25F4B"/>
    <w:rsid w:val="00A26009"/>
    <w:rsid w:val="00A2600F"/>
    <w:rsid w:val="00A262B2"/>
    <w:rsid w:val="00A264C7"/>
    <w:rsid w:val="00A2683C"/>
    <w:rsid w:val="00A26966"/>
    <w:rsid w:val="00A26A0F"/>
    <w:rsid w:val="00A26B12"/>
    <w:rsid w:val="00A26B82"/>
    <w:rsid w:val="00A26B91"/>
    <w:rsid w:val="00A26C56"/>
    <w:rsid w:val="00A26C86"/>
    <w:rsid w:val="00A26DC2"/>
    <w:rsid w:val="00A26F4F"/>
    <w:rsid w:val="00A26F9F"/>
    <w:rsid w:val="00A273BB"/>
    <w:rsid w:val="00A2749C"/>
    <w:rsid w:val="00A278D3"/>
    <w:rsid w:val="00A27ABC"/>
    <w:rsid w:val="00A27C2A"/>
    <w:rsid w:val="00A27C9E"/>
    <w:rsid w:val="00A27D12"/>
    <w:rsid w:val="00A27D6C"/>
    <w:rsid w:val="00A27D7F"/>
    <w:rsid w:val="00A27F70"/>
    <w:rsid w:val="00A3012F"/>
    <w:rsid w:val="00A301BD"/>
    <w:rsid w:val="00A3032C"/>
    <w:rsid w:val="00A30750"/>
    <w:rsid w:val="00A307E7"/>
    <w:rsid w:val="00A30A6C"/>
    <w:rsid w:val="00A30ACB"/>
    <w:rsid w:val="00A30BC7"/>
    <w:rsid w:val="00A30D5E"/>
    <w:rsid w:val="00A310B9"/>
    <w:rsid w:val="00A3118A"/>
    <w:rsid w:val="00A31344"/>
    <w:rsid w:val="00A3151E"/>
    <w:rsid w:val="00A3190B"/>
    <w:rsid w:val="00A31B3F"/>
    <w:rsid w:val="00A31D2A"/>
    <w:rsid w:val="00A31EB7"/>
    <w:rsid w:val="00A31EE6"/>
    <w:rsid w:val="00A320A5"/>
    <w:rsid w:val="00A320FA"/>
    <w:rsid w:val="00A3218B"/>
    <w:rsid w:val="00A327C6"/>
    <w:rsid w:val="00A32B77"/>
    <w:rsid w:val="00A32D04"/>
    <w:rsid w:val="00A32D65"/>
    <w:rsid w:val="00A32EFB"/>
    <w:rsid w:val="00A32F9E"/>
    <w:rsid w:val="00A33309"/>
    <w:rsid w:val="00A3346D"/>
    <w:rsid w:val="00A33482"/>
    <w:rsid w:val="00A336DB"/>
    <w:rsid w:val="00A33A11"/>
    <w:rsid w:val="00A33C00"/>
    <w:rsid w:val="00A33C79"/>
    <w:rsid w:val="00A33CE6"/>
    <w:rsid w:val="00A33DE6"/>
    <w:rsid w:val="00A33F3A"/>
    <w:rsid w:val="00A33FAB"/>
    <w:rsid w:val="00A340D9"/>
    <w:rsid w:val="00A343B9"/>
    <w:rsid w:val="00A3440E"/>
    <w:rsid w:val="00A34539"/>
    <w:rsid w:val="00A34669"/>
    <w:rsid w:val="00A347A2"/>
    <w:rsid w:val="00A349CD"/>
    <w:rsid w:val="00A34A5E"/>
    <w:rsid w:val="00A34AFF"/>
    <w:rsid w:val="00A34BDC"/>
    <w:rsid w:val="00A34BEA"/>
    <w:rsid w:val="00A34D93"/>
    <w:rsid w:val="00A34DAD"/>
    <w:rsid w:val="00A34F2E"/>
    <w:rsid w:val="00A350B4"/>
    <w:rsid w:val="00A35364"/>
    <w:rsid w:val="00A354E3"/>
    <w:rsid w:val="00A354E8"/>
    <w:rsid w:val="00A354FA"/>
    <w:rsid w:val="00A3554C"/>
    <w:rsid w:val="00A355B8"/>
    <w:rsid w:val="00A35697"/>
    <w:rsid w:val="00A357AE"/>
    <w:rsid w:val="00A35845"/>
    <w:rsid w:val="00A35ECF"/>
    <w:rsid w:val="00A35FCE"/>
    <w:rsid w:val="00A36182"/>
    <w:rsid w:val="00A3635A"/>
    <w:rsid w:val="00A368AA"/>
    <w:rsid w:val="00A36B9E"/>
    <w:rsid w:val="00A36C18"/>
    <w:rsid w:val="00A36CCF"/>
    <w:rsid w:val="00A36D65"/>
    <w:rsid w:val="00A36F25"/>
    <w:rsid w:val="00A370FD"/>
    <w:rsid w:val="00A37238"/>
    <w:rsid w:val="00A37393"/>
    <w:rsid w:val="00A3741F"/>
    <w:rsid w:val="00A37531"/>
    <w:rsid w:val="00A376E7"/>
    <w:rsid w:val="00A376F0"/>
    <w:rsid w:val="00A37743"/>
    <w:rsid w:val="00A3784C"/>
    <w:rsid w:val="00A37A0F"/>
    <w:rsid w:val="00A37B0A"/>
    <w:rsid w:val="00A37CE4"/>
    <w:rsid w:val="00A37D06"/>
    <w:rsid w:val="00A37FAA"/>
    <w:rsid w:val="00A401A7"/>
    <w:rsid w:val="00A402F5"/>
    <w:rsid w:val="00A40402"/>
    <w:rsid w:val="00A40496"/>
    <w:rsid w:val="00A404EF"/>
    <w:rsid w:val="00A406CE"/>
    <w:rsid w:val="00A409E2"/>
    <w:rsid w:val="00A409EF"/>
    <w:rsid w:val="00A40BDC"/>
    <w:rsid w:val="00A40D8D"/>
    <w:rsid w:val="00A40E54"/>
    <w:rsid w:val="00A40F72"/>
    <w:rsid w:val="00A40FCE"/>
    <w:rsid w:val="00A4116B"/>
    <w:rsid w:val="00A414AF"/>
    <w:rsid w:val="00A414D3"/>
    <w:rsid w:val="00A415A7"/>
    <w:rsid w:val="00A415B9"/>
    <w:rsid w:val="00A41D92"/>
    <w:rsid w:val="00A41E3C"/>
    <w:rsid w:val="00A41F80"/>
    <w:rsid w:val="00A422DB"/>
    <w:rsid w:val="00A42908"/>
    <w:rsid w:val="00A4295F"/>
    <w:rsid w:val="00A43110"/>
    <w:rsid w:val="00A43389"/>
    <w:rsid w:val="00A433AC"/>
    <w:rsid w:val="00A43576"/>
    <w:rsid w:val="00A43603"/>
    <w:rsid w:val="00A436E9"/>
    <w:rsid w:val="00A43A18"/>
    <w:rsid w:val="00A43D24"/>
    <w:rsid w:val="00A44087"/>
    <w:rsid w:val="00A4413C"/>
    <w:rsid w:val="00A4420A"/>
    <w:rsid w:val="00A442DA"/>
    <w:rsid w:val="00A442F7"/>
    <w:rsid w:val="00A446E9"/>
    <w:rsid w:val="00A44708"/>
    <w:rsid w:val="00A4485D"/>
    <w:rsid w:val="00A44AE5"/>
    <w:rsid w:val="00A44BF7"/>
    <w:rsid w:val="00A44D63"/>
    <w:rsid w:val="00A44E70"/>
    <w:rsid w:val="00A44FB0"/>
    <w:rsid w:val="00A451CB"/>
    <w:rsid w:val="00A45365"/>
    <w:rsid w:val="00A45440"/>
    <w:rsid w:val="00A454F8"/>
    <w:rsid w:val="00A45540"/>
    <w:rsid w:val="00A45904"/>
    <w:rsid w:val="00A45947"/>
    <w:rsid w:val="00A45951"/>
    <w:rsid w:val="00A459A9"/>
    <w:rsid w:val="00A45ADC"/>
    <w:rsid w:val="00A45B07"/>
    <w:rsid w:val="00A45CEF"/>
    <w:rsid w:val="00A45DC3"/>
    <w:rsid w:val="00A45E29"/>
    <w:rsid w:val="00A45FD6"/>
    <w:rsid w:val="00A45FFF"/>
    <w:rsid w:val="00A46047"/>
    <w:rsid w:val="00A461BF"/>
    <w:rsid w:val="00A46342"/>
    <w:rsid w:val="00A46424"/>
    <w:rsid w:val="00A464A2"/>
    <w:rsid w:val="00A465E6"/>
    <w:rsid w:val="00A46727"/>
    <w:rsid w:val="00A4674D"/>
    <w:rsid w:val="00A4695C"/>
    <w:rsid w:val="00A46968"/>
    <w:rsid w:val="00A46A7D"/>
    <w:rsid w:val="00A46CBD"/>
    <w:rsid w:val="00A4714D"/>
    <w:rsid w:val="00A4717A"/>
    <w:rsid w:val="00A471C2"/>
    <w:rsid w:val="00A47212"/>
    <w:rsid w:val="00A4761D"/>
    <w:rsid w:val="00A47664"/>
    <w:rsid w:val="00A4792F"/>
    <w:rsid w:val="00A479BA"/>
    <w:rsid w:val="00A47A0E"/>
    <w:rsid w:val="00A47A8D"/>
    <w:rsid w:val="00A47B05"/>
    <w:rsid w:val="00A47C6C"/>
    <w:rsid w:val="00A47DEF"/>
    <w:rsid w:val="00A47E41"/>
    <w:rsid w:val="00A5004D"/>
    <w:rsid w:val="00A500FD"/>
    <w:rsid w:val="00A50276"/>
    <w:rsid w:val="00A5027A"/>
    <w:rsid w:val="00A5041F"/>
    <w:rsid w:val="00A504BD"/>
    <w:rsid w:val="00A505D5"/>
    <w:rsid w:val="00A50835"/>
    <w:rsid w:val="00A50897"/>
    <w:rsid w:val="00A51153"/>
    <w:rsid w:val="00A51194"/>
    <w:rsid w:val="00A511AA"/>
    <w:rsid w:val="00A511AE"/>
    <w:rsid w:val="00A51268"/>
    <w:rsid w:val="00A512AF"/>
    <w:rsid w:val="00A51686"/>
    <w:rsid w:val="00A519E8"/>
    <w:rsid w:val="00A51C47"/>
    <w:rsid w:val="00A51D26"/>
    <w:rsid w:val="00A51D46"/>
    <w:rsid w:val="00A51DD7"/>
    <w:rsid w:val="00A51E61"/>
    <w:rsid w:val="00A51E8F"/>
    <w:rsid w:val="00A51F07"/>
    <w:rsid w:val="00A5203D"/>
    <w:rsid w:val="00A5213B"/>
    <w:rsid w:val="00A522B0"/>
    <w:rsid w:val="00A523BA"/>
    <w:rsid w:val="00A526AD"/>
    <w:rsid w:val="00A528A4"/>
    <w:rsid w:val="00A528BC"/>
    <w:rsid w:val="00A529A4"/>
    <w:rsid w:val="00A52BDE"/>
    <w:rsid w:val="00A52E84"/>
    <w:rsid w:val="00A52F7F"/>
    <w:rsid w:val="00A53044"/>
    <w:rsid w:val="00A53086"/>
    <w:rsid w:val="00A530CA"/>
    <w:rsid w:val="00A53143"/>
    <w:rsid w:val="00A5329E"/>
    <w:rsid w:val="00A53370"/>
    <w:rsid w:val="00A537AF"/>
    <w:rsid w:val="00A53C24"/>
    <w:rsid w:val="00A53D92"/>
    <w:rsid w:val="00A53DB5"/>
    <w:rsid w:val="00A53F1A"/>
    <w:rsid w:val="00A54129"/>
    <w:rsid w:val="00A54178"/>
    <w:rsid w:val="00A54279"/>
    <w:rsid w:val="00A54415"/>
    <w:rsid w:val="00A544A1"/>
    <w:rsid w:val="00A548B9"/>
    <w:rsid w:val="00A5497B"/>
    <w:rsid w:val="00A54A8C"/>
    <w:rsid w:val="00A54BA2"/>
    <w:rsid w:val="00A54C9E"/>
    <w:rsid w:val="00A55050"/>
    <w:rsid w:val="00A55392"/>
    <w:rsid w:val="00A5549F"/>
    <w:rsid w:val="00A554E9"/>
    <w:rsid w:val="00A55520"/>
    <w:rsid w:val="00A5558D"/>
    <w:rsid w:val="00A55629"/>
    <w:rsid w:val="00A5573F"/>
    <w:rsid w:val="00A55831"/>
    <w:rsid w:val="00A559DA"/>
    <w:rsid w:val="00A55F0A"/>
    <w:rsid w:val="00A56096"/>
    <w:rsid w:val="00A560CB"/>
    <w:rsid w:val="00A5620E"/>
    <w:rsid w:val="00A5642B"/>
    <w:rsid w:val="00A56474"/>
    <w:rsid w:val="00A5652D"/>
    <w:rsid w:val="00A565EA"/>
    <w:rsid w:val="00A56960"/>
    <w:rsid w:val="00A56AC5"/>
    <w:rsid w:val="00A56B92"/>
    <w:rsid w:val="00A56D83"/>
    <w:rsid w:val="00A56DB8"/>
    <w:rsid w:val="00A56E5E"/>
    <w:rsid w:val="00A56EAE"/>
    <w:rsid w:val="00A56EF2"/>
    <w:rsid w:val="00A56F70"/>
    <w:rsid w:val="00A57078"/>
    <w:rsid w:val="00A5710E"/>
    <w:rsid w:val="00A574FD"/>
    <w:rsid w:val="00A57521"/>
    <w:rsid w:val="00A575FF"/>
    <w:rsid w:val="00A57646"/>
    <w:rsid w:val="00A57AD2"/>
    <w:rsid w:val="00A57AEE"/>
    <w:rsid w:val="00A57D7D"/>
    <w:rsid w:val="00A57D8C"/>
    <w:rsid w:val="00A57FC7"/>
    <w:rsid w:val="00A6002F"/>
    <w:rsid w:val="00A60105"/>
    <w:rsid w:val="00A60181"/>
    <w:rsid w:val="00A6035C"/>
    <w:rsid w:val="00A603BB"/>
    <w:rsid w:val="00A6040D"/>
    <w:rsid w:val="00A605F0"/>
    <w:rsid w:val="00A60648"/>
    <w:rsid w:val="00A607D4"/>
    <w:rsid w:val="00A60913"/>
    <w:rsid w:val="00A60B55"/>
    <w:rsid w:val="00A60C97"/>
    <w:rsid w:val="00A60EEE"/>
    <w:rsid w:val="00A60F66"/>
    <w:rsid w:val="00A60FF0"/>
    <w:rsid w:val="00A6105C"/>
    <w:rsid w:val="00A6114E"/>
    <w:rsid w:val="00A61228"/>
    <w:rsid w:val="00A61294"/>
    <w:rsid w:val="00A61323"/>
    <w:rsid w:val="00A6140C"/>
    <w:rsid w:val="00A614E6"/>
    <w:rsid w:val="00A614F3"/>
    <w:rsid w:val="00A6151C"/>
    <w:rsid w:val="00A6174F"/>
    <w:rsid w:val="00A61A12"/>
    <w:rsid w:val="00A61A64"/>
    <w:rsid w:val="00A61CBB"/>
    <w:rsid w:val="00A61E7D"/>
    <w:rsid w:val="00A61EEA"/>
    <w:rsid w:val="00A62071"/>
    <w:rsid w:val="00A6211A"/>
    <w:rsid w:val="00A622BC"/>
    <w:rsid w:val="00A623DB"/>
    <w:rsid w:val="00A6261B"/>
    <w:rsid w:val="00A6263B"/>
    <w:rsid w:val="00A626AD"/>
    <w:rsid w:val="00A629C0"/>
    <w:rsid w:val="00A62A94"/>
    <w:rsid w:val="00A62B9C"/>
    <w:rsid w:val="00A62DB6"/>
    <w:rsid w:val="00A63311"/>
    <w:rsid w:val="00A634F9"/>
    <w:rsid w:val="00A636A5"/>
    <w:rsid w:val="00A63724"/>
    <w:rsid w:val="00A63966"/>
    <w:rsid w:val="00A63B8B"/>
    <w:rsid w:val="00A63C65"/>
    <w:rsid w:val="00A63C8B"/>
    <w:rsid w:val="00A63DA7"/>
    <w:rsid w:val="00A63EB9"/>
    <w:rsid w:val="00A64172"/>
    <w:rsid w:val="00A64175"/>
    <w:rsid w:val="00A64280"/>
    <w:rsid w:val="00A643D0"/>
    <w:rsid w:val="00A6442D"/>
    <w:rsid w:val="00A644C9"/>
    <w:rsid w:val="00A64565"/>
    <w:rsid w:val="00A64851"/>
    <w:rsid w:val="00A648FB"/>
    <w:rsid w:val="00A64921"/>
    <w:rsid w:val="00A64B4F"/>
    <w:rsid w:val="00A64DCE"/>
    <w:rsid w:val="00A65018"/>
    <w:rsid w:val="00A6507E"/>
    <w:rsid w:val="00A653AE"/>
    <w:rsid w:val="00A654F1"/>
    <w:rsid w:val="00A65737"/>
    <w:rsid w:val="00A6583B"/>
    <w:rsid w:val="00A65A57"/>
    <w:rsid w:val="00A65DF2"/>
    <w:rsid w:val="00A66067"/>
    <w:rsid w:val="00A66198"/>
    <w:rsid w:val="00A6639F"/>
    <w:rsid w:val="00A66510"/>
    <w:rsid w:val="00A66562"/>
    <w:rsid w:val="00A665C2"/>
    <w:rsid w:val="00A665F6"/>
    <w:rsid w:val="00A6684F"/>
    <w:rsid w:val="00A6685B"/>
    <w:rsid w:val="00A66987"/>
    <w:rsid w:val="00A66C37"/>
    <w:rsid w:val="00A66D05"/>
    <w:rsid w:val="00A66F90"/>
    <w:rsid w:val="00A6703E"/>
    <w:rsid w:val="00A671D8"/>
    <w:rsid w:val="00A67274"/>
    <w:rsid w:val="00A672C0"/>
    <w:rsid w:val="00A6733B"/>
    <w:rsid w:val="00A6734D"/>
    <w:rsid w:val="00A673B7"/>
    <w:rsid w:val="00A674DB"/>
    <w:rsid w:val="00A674ED"/>
    <w:rsid w:val="00A67589"/>
    <w:rsid w:val="00A675C4"/>
    <w:rsid w:val="00A678B4"/>
    <w:rsid w:val="00A679E5"/>
    <w:rsid w:val="00A679E8"/>
    <w:rsid w:val="00A67A86"/>
    <w:rsid w:val="00A67B3E"/>
    <w:rsid w:val="00A67E0F"/>
    <w:rsid w:val="00A67E95"/>
    <w:rsid w:val="00A700FF"/>
    <w:rsid w:val="00A701BE"/>
    <w:rsid w:val="00A70260"/>
    <w:rsid w:val="00A70311"/>
    <w:rsid w:val="00A70319"/>
    <w:rsid w:val="00A70484"/>
    <w:rsid w:val="00A704D3"/>
    <w:rsid w:val="00A707C6"/>
    <w:rsid w:val="00A707CC"/>
    <w:rsid w:val="00A70828"/>
    <w:rsid w:val="00A7083F"/>
    <w:rsid w:val="00A7087D"/>
    <w:rsid w:val="00A708AF"/>
    <w:rsid w:val="00A708F1"/>
    <w:rsid w:val="00A70ABF"/>
    <w:rsid w:val="00A70B1A"/>
    <w:rsid w:val="00A70BBB"/>
    <w:rsid w:val="00A71085"/>
    <w:rsid w:val="00A710DC"/>
    <w:rsid w:val="00A714CB"/>
    <w:rsid w:val="00A71538"/>
    <w:rsid w:val="00A71716"/>
    <w:rsid w:val="00A71763"/>
    <w:rsid w:val="00A71B05"/>
    <w:rsid w:val="00A71BD8"/>
    <w:rsid w:val="00A71E2A"/>
    <w:rsid w:val="00A71E9D"/>
    <w:rsid w:val="00A71EE5"/>
    <w:rsid w:val="00A71EEE"/>
    <w:rsid w:val="00A71F56"/>
    <w:rsid w:val="00A7215B"/>
    <w:rsid w:val="00A721F8"/>
    <w:rsid w:val="00A7227F"/>
    <w:rsid w:val="00A7239C"/>
    <w:rsid w:val="00A72603"/>
    <w:rsid w:val="00A7261A"/>
    <w:rsid w:val="00A7269B"/>
    <w:rsid w:val="00A727E6"/>
    <w:rsid w:val="00A72888"/>
    <w:rsid w:val="00A72ADE"/>
    <w:rsid w:val="00A72BFF"/>
    <w:rsid w:val="00A731B2"/>
    <w:rsid w:val="00A73503"/>
    <w:rsid w:val="00A7354A"/>
    <w:rsid w:val="00A737DB"/>
    <w:rsid w:val="00A73A50"/>
    <w:rsid w:val="00A73DC7"/>
    <w:rsid w:val="00A7401D"/>
    <w:rsid w:val="00A741B0"/>
    <w:rsid w:val="00A74260"/>
    <w:rsid w:val="00A74281"/>
    <w:rsid w:val="00A742DA"/>
    <w:rsid w:val="00A7445B"/>
    <w:rsid w:val="00A745F0"/>
    <w:rsid w:val="00A74655"/>
    <w:rsid w:val="00A74813"/>
    <w:rsid w:val="00A748AB"/>
    <w:rsid w:val="00A748FD"/>
    <w:rsid w:val="00A74B68"/>
    <w:rsid w:val="00A74C6D"/>
    <w:rsid w:val="00A74D92"/>
    <w:rsid w:val="00A74E82"/>
    <w:rsid w:val="00A75138"/>
    <w:rsid w:val="00A75161"/>
    <w:rsid w:val="00A75629"/>
    <w:rsid w:val="00A75782"/>
    <w:rsid w:val="00A75E7A"/>
    <w:rsid w:val="00A75F88"/>
    <w:rsid w:val="00A76077"/>
    <w:rsid w:val="00A76262"/>
    <w:rsid w:val="00A7654C"/>
    <w:rsid w:val="00A769F0"/>
    <w:rsid w:val="00A76A52"/>
    <w:rsid w:val="00A76B71"/>
    <w:rsid w:val="00A76D8C"/>
    <w:rsid w:val="00A76EAA"/>
    <w:rsid w:val="00A770F0"/>
    <w:rsid w:val="00A7729D"/>
    <w:rsid w:val="00A7746E"/>
    <w:rsid w:val="00A77782"/>
    <w:rsid w:val="00A777DE"/>
    <w:rsid w:val="00A77BA8"/>
    <w:rsid w:val="00A77C86"/>
    <w:rsid w:val="00A77D7B"/>
    <w:rsid w:val="00A77DCD"/>
    <w:rsid w:val="00A77E6B"/>
    <w:rsid w:val="00A80114"/>
    <w:rsid w:val="00A8012E"/>
    <w:rsid w:val="00A80A80"/>
    <w:rsid w:val="00A80AD4"/>
    <w:rsid w:val="00A80B29"/>
    <w:rsid w:val="00A80B46"/>
    <w:rsid w:val="00A80C17"/>
    <w:rsid w:val="00A80C89"/>
    <w:rsid w:val="00A80D78"/>
    <w:rsid w:val="00A80DA7"/>
    <w:rsid w:val="00A80F8B"/>
    <w:rsid w:val="00A814AD"/>
    <w:rsid w:val="00A8158C"/>
    <w:rsid w:val="00A8174B"/>
    <w:rsid w:val="00A81919"/>
    <w:rsid w:val="00A8192D"/>
    <w:rsid w:val="00A81AE7"/>
    <w:rsid w:val="00A81C0D"/>
    <w:rsid w:val="00A81CBC"/>
    <w:rsid w:val="00A81F85"/>
    <w:rsid w:val="00A81FFD"/>
    <w:rsid w:val="00A82192"/>
    <w:rsid w:val="00A821A9"/>
    <w:rsid w:val="00A8232C"/>
    <w:rsid w:val="00A82684"/>
    <w:rsid w:val="00A82719"/>
    <w:rsid w:val="00A827BA"/>
    <w:rsid w:val="00A8284C"/>
    <w:rsid w:val="00A828B5"/>
    <w:rsid w:val="00A82937"/>
    <w:rsid w:val="00A82A71"/>
    <w:rsid w:val="00A82D82"/>
    <w:rsid w:val="00A82DAD"/>
    <w:rsid w:val="00A830CD"/>
    <w:rsid w:val="00A8321A"/>
    <w:rsid w:val="00A83379"/>
    <w:rsid w:val="00A8346D"/>
    <w:rsid w:val="00A83615"/>
    <w:rsid w:val="00A83748"/>
    <w:rsid w:val="00A83763"/>
    <w:rsid w:val="00A838F3"/>
    <w:rsid w:val="00A83956"/>
    <w:rsid w:val="00A83999"/>
    <w:rsid w:val="00A83B3A"/>
    <w:rsid w:val="00A84044"/>
    <w:rsid w:val="00A84471"/>
    <w:rsid w:val="00A847C4"/>
    <w:rsid w:val="00A84844"/>
    <w:rsid w:val="00A848EE"/>
    <w:rsid w:val="00A84956"/>
    <w:rsid w:val="00A849B8"/>
    <w:rsid w:val="00A84AAB"/>
    <w:rsid w:val="00A84DAF"/>
    <w:rsid w:val="00A84DDC"/>
    <w:rsid w:val="00A84E59"/>
    <w:rsid w:val="00A84FE9"/>
    <w:rsid w:val="00A85157"/>
    <w:rsid w:val="00A8518F"/>
    <w:rsid w:val="00A851AC"/>
    <w:rsid w:val="00A85213"/>
    <w:rsid w:val="00A852E1"/>
    <w:rsid w:val="00A85438"/>
    <w:rsid w:val="00A854B2"/>
    <w:rsid w:val="00A8575F"/>
    <w:rsid w:val="00A8582C"/>
    <w:rsid w:val="00A859B3"/>
    <w:rsid w:val="00A85A0C"/>
    <w:rsid w:val="00A85B89"/>
    <w:rsid w:val="00A86151"/>
    <w:rsid w:val="00A86258"/>
    <w:rsid w:val="00A86762"/>
    <w:rsid w:val="00A867CA"/>
    <w:rsid w:val="00A86924"/>
    <w:rsid w:val="00A86A03"/>
    <w:rsid w:val="00A86ECB"/>
    <w:rsid w:val="00A870E1"/>
    <w:rsid w:val="00A8721E"/>
    <w:rsid w:val="00A8734B"/>
    <w:rsid w:val="00A87385"/>
    <w:rsid w:val="00A874D2"/>
    <w:rsid w:val="00A874DD"/>
    <w:rsid w:val="00A87504"/>
    <w:rsid w:val="00A876B8"/>
    <w:rsid w:val="00A876E3"/>
    <w:rsid w:val="00A87C44"/>
    <w:rsid w:val="00A87D4E"/>
    <w:rsid w:val="00A87E33"/>
    <w:rsid w:val="00A87E36"/>
    <w:rsid w:val="00A87E82"/>
    <w:rsid w:val="00A90046"/>
    <w:rsid w:val="00A90127"/>
    <w:rsid w:val="00A909FD"/>
    <w:rsid w:val="00A90D2D"/>
    <w:rsid w:val="00A90F75"/>
    <w:rsid w:val="00A91066"/>
    <w:rsid w:val="00A910F4"/>
    <w:rsid w:val="00A911A7"/>
    <w:rsid w:val="00A913AC"/>
    <w:rsid w:val="00A91402"/>
    <w:rsid w:val="00A91495"/>
    <w:rsid w:val="00A915E6"/>
    <w:rsid w:val="00A91812"/>
    <w:rsid w:val="00A9196D"/>
    <w:rsid w:val="00A91E05"/>
    <w:rsid w:val="00A91ED6"/>
    <w:rsid w:val="00A91F64"/>
    <w:rsid w:val="00A91FB4"/>
    <w:rsid w:val="00A92066"/>
    <w:rsid w:val="00A92092"/>
    <w:rsid w:val="00A92129"/>
    <w:rsid w:val="00A92220"/>
    <w:rsid w:val="00A9246E"/>
    <w:rsid w:val="00A925CC"/>
    <w:rsid w:val="00A92683"/>
    <w:rsid w:val="00A926A3"/>
    <w:rsid w:val="00A92811"/>
    <w:rsid w:val="00A92879"/>
    <w:rsid w:val="00A928F2"/>
    <w:rsid w:val="00A928F9"/>
    <w:rsid w:val="00A92A16"/>
    <w:rsid w:val="00A92A88"/>
    <w:rsid w:val="00A92B94"/>
    <w:rsid w:val="00A92BDF"/>
    <w:rsid w:val="00A93138"/>
    <w:rsid w:val="00A9315D"/>
    <w:rsid w:val="00A9325F"/>
    <w:rsid w:val="00A93417"/>
    <w:rsid w:val="00A934B7"/>
    <w:rsid w:val="00A93625"/>
    <w:rsid w:val="00A93748"/>
    <w:rsid w:val="00A9379F"/>
    <w:rsid w:val="00A937B7"/>
    <w:rsid w:val="00A938D8"/>
    <w:rsid w:val="00A93925"/>
    <w:rsid w:val="00A93B26"/>
    <w:rsid w:val="00A93C23"/>
    <w:rsid w:val="00A94065"/>
    <w:rsid w:val="00A9408F"/>
    <w:rsid w:val="00A94185"/>
    <w:rsid w:val="00A9421D"/>
    <w:rsid w:val="00A94332"/>
    <w:rsid w:val="00A9439F"/>
    <w:rsid w:val="00A944D9"/>
    <w:rsid w:val="00A94567"/>
    <w:rsid w:val="00A945CB"/>
    <w:rsid w:val="00A947F6"/>
    <w:rsid w:val="00A9497D"/>
    <w:rsid w:val="00A94ABC"/>
    <w:rsid w:val="00A94AE8"/>
    <w:rsid w:val="00A94AF5"/>
    <w:rsid w:val="00A94B2B"/>
    <w:rsid w:val="00A94D50"/>
    <w:rsid w:val="00A94D6D"/>
    <w:rsid w:val="00A94D82"/>
    <w:rsid w:val="00A94FD7"/>
    <w:rsid w:val="00A951A7"/>
    <w:rsid w:val="00A951B2"/>
    <w:rsid w:val="00A95294"/>
    <w:rsid w:val="00A954C0"/>
    <w:rsid w:val="00A956F4"/>
    <w:rsid w:val="00A957D0"/>
    <w:rsid w:val="00A95AC4"/>
    <w:rsid w:val="00A95BC1"/>
    <w:rsid w:val="00A95C84"/>
    <w:rsid w:val="00A95E54"/>
    <w:rsid w:val="00A95FAE"/>
    <w:rsid w:val="00A96198"/>
    <w:rsid w:val="00A961A6"/>
    <w:rsid w:val="00A961A8"/>
    <w:rsid w:val="00A96270"/>
    <w:rsid w:val="00A9645F"/>
    <w:rsid w:val="00A964F4"/>
    <w:rsid w:val="00A96609"/>
    <w:rsid w:val="00A96731"/>
    <w:rsid w:val="00A968C3"/>
    <w:rsid w:val="00A96988"/>
    <w:rsid w:val="00A96D62"/>
    <w:rsid w:val="00A96E00"/>
    <w:rsid w:val="00A96E75"/>
    <w:rsid w:val="00A96FE9"/>
    <w:rsid w:val="00A97022"/>
    <w:rsid w:val="00A9722B"/>
    <w:rsid w:val="00A9733A"/>
    <w:rsid w:val="00A97656"/>
    <w:rsid w:val="00A977F9"/>
    <w:rsid w:val="00A97B45"/>
    <w:rsid w:val="00A97B8A"/>
    <w:rsid w:val="00A97BAB"/>
    <w:rsid w:val="00A97CA6"/>
    <w:rsid w:val="00A97E18"/>
    <w:rsid w:val="00A97E73"/>
    <w:rsid w:val="00AA00E9"/>
    <w:rsid w:val="00AA0270"/>
    <w:rsid w:val="00AA03D9"/>
    <w:rsid w:val="00AA05AA"/>
    <w:rsid w:val="00AA05CA"/>
    <w:rsid w:val="00AA05D9"/>
    <w:rsid w:val="00AA05FB"/>
    <w:rsid w:val="00AA078E"/>
    <w:rsid w:val="00AA087F"/>
    <w:rsid w:val="00AA0967"/>
    <w:rsid w:val="00AA09AD"/>
    <w:rsid w:val="00AA0A56"/>
    <w:rsid w:val="00AA0BFE"/>
    <w:rsid w:val="00AA0C44"/>
    <w:rsid w:val="00AA0C48"/>
    <w:rsid w:val="00AA0CA8"/>
    <w:rsid w:val="00AA0CCD"/>
    <w:rsid w:val="00AA0D8E"/>
    <w:rsid w:val="00AA0D99"/>
    <w:rsid w:val="00AA1067"/>
    <w:rsid w:val="00AA107B"/>
    <w:rsid w:val="00AA1369"/>
    <w:rsid w:val="00AA1474"/>
    <w:rsid w:val="00AA1640"/>
    <w:rsid w:val="00AA17FD"/>
    <w:rsid w:val="00AA1838"/>
    <w:rsid w:val="00AA1B0F"/>
    <w:rsid w:val="00AA1D33"/>
    <w:rsid w:val="00AA1D52"/>
    <w:rsid w:val="00AA1D84"/>
    <w:rsid w:val="00AA1EF9"/>
    <w:rsid w:val="00AA1F5C"/>
    <w:rsid w:val="00AA2084"/>
    <w:rsid w:val="00AA2302"/>
    <w:rsid w:val="00AA231D"/>
    <w:rsid w:val="00AA25A4"/>
    <w:rsid w:val="00AA2823"/>
    <w:rsid w:val="00AA2D37"/>
    <w:rsid w:val="00AA2E26"/>
    <w:rsid w:val="00AA2F50"/>
    <w:rsid w:val="00AA2F70"/>
    <w:rsid w:val="00AA3205"/>
    <w:rsid w:val="00AA327B"/>
    <w:rsid w:val="00AA35AE"/>
    <w:rsid w:val="00AA36C4"/>
    <w:rsid w:val="00AA381F"/>
    <w:rsid w:val="00AA38A4"/>
    <w:rsid w:val="00AA3981"/>
    <w:rsid w:val="00AA3A3E"/>
    <w:rsid w:val="00AA3A89"/>
    <w:rsid w:val="00AA3DB0"/>
    <w:rsid w:val="00AA3E54"/>
    <w:rsid w:val="00AA4017"/>
    <w:rsid w:val="00AA42D9"/>
    <w:rsid w:val="00AA465D"/>
    <w:rsid w:val="00AA4ACF"/>
    <w:rsid w:val="00AA4BE1"/>
    <w:rsid w:val="00AA4C67"/>
    <w:rsid w:val="00AA4D2C"/>
    <w:rsid w:val="00AA50EE"/>
    <w:rsid w:val="00AA51B7"/>
    <w:rsid w:val="00AA5233"/>
    <w:rsid w:val="00AA54F1"/>
    <w:rsid w:val="00AA5550"/>
    <w:rsid w:val="00AA570B"/>
    <w:rsid w:val="00AA57D4"/>
    <w:rsid w:val="00AA57D5"/>
    <w:rsid w:val="00AA5941"/>
    <w:rsid w:val="00AA5AC2"/>
    <w:rsid w:val="00AA5BC1"/>
    <w:rsid w:val="00AA5C46"/>
    <w:rsid w:val="00AA5D8F"/>
    <w:rsid w:val="00AA5ED1"/>
    <w:rsid w:val="00AA5F4A"/>
    <w:rsid w:val="00AA5FF4"/>
    <w:rsid w:val="00AA603D"/>
    <w:rsid w:val="00AA6071"/>
    <w:rsid w:val="00AA6252"/>
    <w:rsid w:val="00AA6350"/>
    <w:rsid w:val="00AA6530"/>
    <w:rsid w:val="00AA6648"/>
    <w:rsid w:val="00AA68D0"/>
    <w:rsid w:val="00AA6951"/>
    <w:rsid w:val="00AA6B67"/>
    <w:rsid w:val="00AA6E93"/>
    <w:rsid w:val="00AA6EE8"/>
    <w:rsid w:val="00AA6EFB"/>
    <w:rsid w:val="00AA6F85"/>
    <w:rsid w:val="00AA6FD4"/>
    <w:rsid w:val="00AA6FE4"/>
    <w:rsid w:val="00AA7105"/>
    <w:rsid w:val="00AA7238"/>
    <w:rsid w:val="00AA72CD"/>
    <w:rsid w:val="00AA7368"/>
    <w:rsid w:val="00AA73B5"/>
    <w:rsid w:val="00AA73CE"/>
    <w:rsid w:val="00AA765F"/>
    <w:rsid w:val="00AA767A"/>
    <w:rsid w:val="00AA78BC"/>
    <w:rsid w:val="00AA7A00"/>
    <w:rsid w:val="00AA7B64"/>
    <w:rsid w:val="00AA7D92"/>
    <w:rsid w:val="00AA7DDF"/>
    <w:rsid w:val="00AB0041"/>
    <w:rsid w:val="00AB0085"/>
    <w:rsid w:val="00AB0396"/>
    <w:rsid w:val="00AB07D0"/>
    <w:rsid w:val="00AB0A4A"/>
    <w:rsid w:val="00AB0CC9"/>
    <w:rsid w:val="00AB0D21"/>
    <w:rsid w:val="00AB0DB5"/>
    <w:rsid w:val="00AB1033"/>
    <w:rsid w:val="00AB142B"/>
    <w:rsid w:val="00AB155A"/>
    <w:rsid w:val="00AB157B"/>
    <w:rsid w:val="00AB1875"/>
    <w:rsid w:val="00AB18B3"/>
    <w:rsid w:val="00AB18F4"/>
    <w:rsid w:val="00AB1901"/>
    <w:rsid w:val="00AB1921"/>
    <w:rsid w:val="00AB1AAB"/>
    <w:rsid w:val="00AB1D87"/>
    <w:rsid w:val="00AB1D9D"/>
    <w:rsid w:val="00AB1F25"/>
    <w:rsid w:val="00AB1F42"/>
    <w:rsid w:val="00AB21A1"/>
    <w:rsid w:val="00AB2368"/>
    <w:rsid w:val="00AB23BE"/>
    <w:rsid w:val="00AB248B"/>
    <w:rsid w:val="00AB24A3"/>
    <w:rsid w:val="00AB26DE"/>
    <w:rsid w:val="00AB27EA"/>
    <w:rsid w:val="00AB2A57"/>
    <w:rsid w:val="00AB2A76"/>
    <w:rsid w:val="00AB2B3A"/>
    <w:rsid w:val="00AB2B93"/>
    <w:rsid w:val="00AB2C10"/>
    <w:rsid w:val="00AB2D18"/>
    <w:rsid w:val="00AB2F45"/>
    <w:rsid w:val="00AB2FCE"/>
    <w:rsid w:val="00AB30FD"/>
    <w:rsid w:val="00AB3777"/>
    <w:rsid w:val="00AB377A"/>
    <w:rsid w:val="00AB37D0"/>
    <w:rsid w:val="00AB383B"/>
    <w:rsid w:val="00AB38B9"/>
    <w:rsid w:val="00AB3A3A"/>
    <w:rsid w:val="00AB3B65"/>
    <w:rsid w:val="00AB3D21"/>
    <w:rsid w:val="00AB3DF5"/>
    <w:rsid w:val="00AB3EAF"/>
    <w:rsid w:val="00AB3F6F"/>
    <w:rsid w:val="00AB400B"/>
    <w:rsid w:val="00AB40A3"/>
    <w:rsid w:val="00AB40CB"/>
    <w:rsid w:val="00AB4430"/>
    <w:rsid w:val="00AB44BA"/>
    <w:rsid w:val="00AB458F"/>
    <w:rsid w:val="00AB46AB"/>
    <w:rsid w:val="00AB47E5"/>
    <w:rsid w:val="00AB481E"/>
    <w:rsid w:val="00AB4895"/>
    <w:rsid w:val="00AB49DE"/>
    <w:rsid w:val="00AB4B67"/>
    <w:rsid w:val="00AB4CA8"/>
    <w:rsid w:val="00AB4D37"/>
    <w:rsid w:val="00AB4DFB"/>
    <w:rsid w:val="00AB4E6C"/>
    <w:rsid w:val="00AB4FDB"/>
    <w:rsid w:val="00AB51D2"/>
    <w:rsid w:val="00AB5600"/>
    <w:rsid w:val="00AB5710"/>
    <w:rsid w:val="00AB5AB8"/>
    <w:rsid w:val="00AB5D06"/>
    <w:rsid w:val="00AB5E5E"/>
    <w:rsid w:val="00AB5FBE"/>
    <w:rsid w:val="00AB5FE3"/>
    <w:rsid w:val="00AB6091"/>
    <w:rsid w:val="00AB611D"/>
    <w:rsid w:val="00AB62F8"/>
    <w:rsid w:val="00AB64CB"/>
    <w:rsid w:val="00AB6843"/>
    <w:rsid w:val="00AB69E6"/>
    <w:rsid w:val="00AB6DA5"/>
    <w:rsid w:val="00AB7018"/>
    <w:rsid w:val="00AB7203"/>
    <w:rsid w:val="00AB73B4"/>
    <w:rsid w:val="00AB7456"/>
    <w:rsid w:val="00AB7479"/>
    <w:rsid w:val="00AB7504"/>
    <w:rsid w:val="00AB79D5"/>
    <w:rsid w:val="00AB7A9F"/>
    <w:rsid w:val="00AB7B75"/>
    <w:rsid w:val="00AB7B7B"/>
    <w:rsid w:val="00AB7BF8"/>
    <w:rsid w:val="00AB7FC9"/>
    <w:rsid w:val="00AC0085"/>
    <w:rsid w:val="00AC01AB"/>
    <w:rsid w:val="00AC01E4"/>
    <w:rsid w:val="00AC031B"/>
    <w:rsid w:val="00AC0423"/>
    <w:rsid w:val="00AC059C"/>
    <w:rsid w:val="00AC08EC"/>
    <w:rsid w:val="00AC09E2"/>
    <w:rsid w:val="00AC0DD2"/>
    <w:rsid w:val="00AC0F84"/>
    <w:rsid w:val="00AC1008"/>
    <w:rsid w:val="00AC1075"/>
    <w:rsid w:val="00AC10C6"/>
    <w:rsid w:val="00AC115C"/>
    <w:rsid w:val="00AC131C"/>
    <w:rsid w:val="00AC1607"/>
    <w:rsid w:val="00AC1698"/>
    <w:rsid w:val="00AC169F"/>
    <w:rsid w:val="00AC187E"/>
    <w:rsid w:val="00AC19EC"/>
    <w:rsid w:val="00AC1BA5"/>
    <w:rsid w:val="00AC1D76"/>
    <w:rsid w:val="00AC1D9E"/>
    <w:rsid w:val="00AC1E90"/>
    <w:rsid w:val="00AC1E97"/>
    <w:rsid w:val="00AC1F28"/>
    <w:rsid w:val="00AC1F87"/>
    <w:rsid w:val="00AC235F"/>
    <w:rsid w:val="00AC2615"/>
    <w:rsid w:val="00AC2757"/>
    <w:rsid w:val="00AC2810"/>
    <w:rsid w:val="00AC2A94"/>
    <w:rsid w:val="00AC2AB9"/>
    <w:rsid w:val="00AC310D"/>
    <w:rsid w:val="00AC3265"/>
    <w:rsid w:val="00AC34EA"/>
    <w:rsid w:val="00AC3630"/>
    <w:rsid w:val="00AC36D6"/>
    <w:rsid w:val="00AC36F6"/>
    <w:rsid w:val="00AC3988"/>
    <w:rsid w:val="00AC3AA1"/>
    <w:rsid w:val="00AC3B24"/>
    <w:rsid w:val="00AC3D12"/>
    <w:rsid w:val="00AC3E82"/>
    <w:rsid w:val="00AC3F4D"/>
    <w:rsid w:val="00AC3F9B"/>
    <w:rsid w:val="00AC4065"/>
    <w:rsid w:val="00AC41B7"/>
    <w:rsid w:val="00AC420A"/>
    <w:rsid w:val="00AC44C1"/>
    <w:rsid w:val="00AC462E"/>
    <w:rsid w:val="00AC4850"/>
    <w:rsid w:val="00AC4951"/>
    <w:rsid w:val="00AC4BD5"/>
    <w:rsid w:val="00AC4C20"/>
    <w:rsid w:val="00AC4C26"/>
    <w:rsid w:val="00AC4E0E"/>
    <w:rsid w:val="00AC4E78"/>
    <w:rsid w:val="00AC50F1"/>
    <w:rsid w:val="00AC5102"/>
    <w:rsid w:val="00AC5302"/>
    <w:rsid w:val="00AC535F"/>
    <w:rsid w:val="00AC53CB"/>
    <w:rsid w:val="00AC57C4"/>
    <w:rsid w:val="00AC59BB"/>
    <w:rsid w:val="00AC5A3B"/>
    <w:rsid w:val="00AC5ADE"/>
    <w:rsid w:val="00AC5EE0"/>
    <w:rsid w:val="00AC5F7C"/>
    <w:rsid w:val="00AC660F"/>
    <w:rsid w:val="00AC66F2"/>
    <w:rsid w:val="00AC6867"/>
    <w:rsid w:val="00AC68BF"/>
    <w:rsid w:val="00AC690B"/>
    <w:rsid w:val="00AC6A37"/>
    <w:rsid w:val="00AC6C0C"/>
    <w:rsid w:val="00AC71B0"/>
    <w:rsid w:val="00AC7213"/>
    <w:rsid w:val="00AC7216"/>
    <w:rsid w:val="00AC73AB"/>
    <w:rsid w:val="00AC74F0"/>
    <w:rsid w:val="00AC76AF"/>
    <w:rsid w:val="00AC78A3"/>
    <w:rsid w:val="00AC78D0"/>
    <w:rsid w:val="00AC7C2C"/>
    <w:rsid w:val="00AC7F13"/>
    <w:rsid w:val="00AC7F90"/>
    <w:rsid w:val="00AD0165"/>
    <w:rsid w:val="00AD041E"/>
    <w:rsid w:val="00AD04FF"/>
    <w:rsid w:val="00AD06DC"/>
    <w:rsid w:val="00AD076A"/>
    <w:rsid w:val="00AD08F0"/>
    <w:rsid w:val="00AD0921"/>
    <w:rsid w:val="00AD0A85"/>
    <w:rsid w:val="00AD11D4"/>
    <w:rsid w:val="00AD149E"/>
    <w:rsid w:val="00AD1545"/>
    <w:rsid w:val="00AD158A"/>
    <w:rsid w:val="00AD165B"/>
    <w:rsid w:val="00AD1812"/>
    <w:rsid w:val="00AD1864"/>
    <w:rsid w:val="00AD18A8"/>
    <w:rsid w:val="00AD1A7D"/>
    <w:rsid w:val="00AD1AC1"/>
    <w:rsid w:val="00AD1CCA"/>
    <w:rsid w:val="00AD1DD8"/>
    <w:rsid w:val="00AD218C"/>
    <w:rsid w:val="00AD21CA"/>
    <w:rsid w:val="00AD21F3"/>
    <w:rsid w:val="00AD22A4"/>
    <w:rsid w:val="00AD240F"/>
    <w:rsid w:val="00AD252F"/>
    <w:rsid w:val="00AD2593"/>
    <w:rsid w:val="00AD25AF"/>
    <w:rsid w:val="00AD281D"/>
    <w:rsid w:val="00AD2839"/>
    <w:rsid w:val="00AD2899"/>
    <w:rsid w:val="00AD28BD"/>
    <w:rsid w:val="00AD2960"/>
    <w:rsid w:val="00AD2B7D"/>
    <w:rsid w:val="00AD2E0D"/>
    <w:rsid w:val="00AD303C"/>
    <w:rsid w:val="00AD307C"/>
    <w:rsid w:val="00AD3375"/>
    <w:rsid w:val="00AD352A"/>
    <w:rsid w:val="00AD3697"/>
    <w:rsid w:val="00AD37E9"/>
    <w:rsid w:val="00AD3ECB"/>
    <w:rsid w:val="00AD411B"/>
    <w:rsid w:val="00AD4166"/>
    <w:rsid w:val="00AD41D8"/>
    <w:rsid w:val="00AD429D"/>
    <w:rsid w:val="00AD42BE"/>
    <w:rsid w:val="00AD43F3"/>
    <w:rsid w:val="00AD4A33"/>
    <w:rsid w:val="00AD4AAA"/>
    <w:rsid w:val="00AD4AAC"/>
    <w:rsid w:val="00AD4ACA"/>
    <w:rsid w:val="00AD4AE1"/>
    <w:rsid w:val="00AD4C17"/>
    <w:rsid w:val="00AD5053"/>
    <w:rsid w:val="00AD5116"/>
    <w:rsid w:val="00AD53CB"/>
    <w:rsid w:val="00AD55BE"/>
    <w:rsid w:val="00AD5751"/>
    <w:rsid w:val="00AD583B"/>
    <w:rsid w:val="00AD5847"/>
    <w:rsid w:val="00AD5A2E"/>
    <w:rsid w:val="00AD5AD4"/>
    <w:rsid w:val="00AD5D5E"/>
    <w:rsid w:val="00AD5F3A"/>
    <w:rsid w:val="00AD602C"/>
    <w:rsid w:val="00AD66AF"/>
    <w:rsid w:val="00AD689B"/>
    <w:rsid w:val="00AD6947"/>
    <w:rsid w:val="00AD6B4D"/>
    <w:rsid w:val="00AD6B79"/>
    <w:rsid w:val="00AD6BB5"/>
    <w:rsid w:val="00AD6C57"/>
    <w:rsid w:val="00AD6C70"/>
    <w:rsid w:val="00AD6E00"/>
    <w:rsid w:val="00AD70BD"/>
    <w:rsid w:val="00AD72F4"/>
    <w:rsid w:val="00AD736B"/>
    <w:rsid w:val="00AD747A"/>
    <w:rsid w:val="00AD74E0"/>
    <w:rsid w:val="00AD76E7"/>
    <w:rsid w:val="00AD7773"/>
    <w:rsid w:val="00AD786C"/>
    <w:rsid w:val="00AD7A6F"/>
    <w:rsid w:val="00AD7B73"/>
    <w:rsid w:val="00AD7BD9"/>
    <w:rsid w:val="00AD7C38"/>
    <w:rsid w:val="00AE00F4"/>
    <w:rsid w:val="00AE01AD"/>
    <w:rsid w:val="00AE0202"/>
    <w:rsid w:val="00AE0438"/>
    <w:rsid w:val="00AE0486"/>
    <w:rsid w:val="00AE0829"/>
    <w:rsid w:val="00AE0902"/>
    <w:rsid w:val="00AE0A9B"/>
    <w:rsid w:val="00AE0C37"/>
    <w:rsid w:val="00AE0C8C"/>
    <w:rsid w:val="00AE0CF3"/>
    <w:rsid w:val="00AE1080"/>
    <w:rsid w:val="00AE11FD"/>
    <w:rsid w:val="00AE1291"/>
    <w:rsid w:val="00AE12FA"/>
    <w:rsid w:val="00AE14AF"/>
    <w:rsid w:val="00AE1794"/>
    <w:rsid w:val="00AE1857"/>
    <w:rsid w:val="00AE1A6B"/>
    <w:rsid w:val="00AE1ABD"/>
    <w:rsid w:val="00AE1C7E"/>
    <w:rsid w:val="00AE1D04"/>
    <w:rsid w:val="00AE1D57"/>
    <w:rsid w:val="00AE1FC1"/>
    <w:rsid w:val="00AE212C"/>
    <w:rsid w:val="00AE2381"/>
    <w:rsid w:val="00AE25CA"/>
    <w:rsid w:val="00AE2623"/>
    <w:rsid w:val="00AE2664"/>
    <w:rsid w:val="00AE26C5"/>
    <w:rsid w:val="00AE2832"/>
    <w:rsid w:val="00AE2849"/>
    <w:rsid w:val="00AE294C"/>
    <w:rsid w:val="00AE29FC"/>
    <w:rsid w:val="00AE2A06"/>
    <w:rsid w:val="00AE2BD2"/>
    <w:rsid w:val="00AE2C3D"/>
    <w:rsid w:val="00AE2C50"/>
    <w:rsid w:val="00AE2CBB"/>
    <w:rsid w:val="00AE2E0D"/>
    <w:rsid w:val="00AE2E32"/>
    <w:rsid w:val="00AE2EF6"/>
    <w:rsid w:val="00AE2FAD"/>
    <w:rsid w:val="00AE3045"/>
    <w:rsid w:val="00AE308B"/>
    <w:rsid w:val="00AE321B"/>
    <w:rsid w:val="00AE32E0"/>
    <w:rsid w:val="00AE3478"/>
    <w:rsid w:val="00AE3535"/>
    <w:rsid w:val="00AE3751"/>
    <w:rsid w:val="00AE3A81"/>
    <w:rsid w:val="00AE3D4A"/>
    <w:rsid w:val="00AE3DD9"/>
    <w:rsid w:val="00AE3E6F"/>
    <w:rsid w:val="00AE3EED"/>
    <w:rsid w:val="00AE417A"/>
    <w:rsid w:val="00AE45A7"/>
    <w:rsid w:val="00AE45D2"/>
    <w:rsid w:val="00AE4929"/>
    <w:rsid w:val="00AE4A28"/>
    <w:rsid w:val="00AE4BDF"/>
    <w:rsid w:val="00AE4C6F"/>
    <w:rsid w:val="00AE4CBB"/>
    <w:rsid w:val="00AE4DEF"/>
    <w:rsid w:val="00AE4F6B"/>
    <w:rsid w:val="00AE5150"/>
    <w:rsid w:val="00AE51BF"/>
    <w:rsid w:val="00AE524E"/>
    <w:rsid w:val="00AE5663"/>
    <w:rsid w:val="00AE56A8"/>
    <w:rsid w:val="00AE5797"/>
    <w:rsid w:val="00AE5807"/>
    <w:rsid w:val="00AE59C6"/>
    <w:rsid w:val="00AE5A95"/>
    <w:rsid w:val="00AE5C13"/>
    <w:rsid w:val="00AE5CC0"/>
    <w:rsid w:val="00AE5F1E"/>
    <w:rsid w:val="00AE5F9D"/>
    <w:rsid w:val="00AE5FC2"/>
    <w:rsid w:val="00AE600E"/>
    <w:rsid w:val="00AE61E8"/>
    <w:rsid w:val="00AE6296"/>
    <w:rsid w:val="00AE62B6"/>
    <w:rsid w:val="00AE62F0"/>
    <w:rsid w:val="00AE64EE"/>
    <w:rsid w:val="00AE667F"/>
    <w:rsid w:val="00AE66E9"/>
    <w:rsid w:val="00AE672A"/>
    <w:rsid w:val="00AE67C9"/>
    <w:rsid w:val="00AE6CC9"/>
    <w:rsid w:val="00AE6F72"/>
    <w:rsid w:val="00AE6F78"/>
    <w:rsid w:val="00AE75D1"/>
    <w:rsid w:val="00AE75FB"/>
    <w:rsid w:val="00AE76AE"/>
    <w:rsid w:val="00AE7713"/>
    <w:rsid w:val="00AE7719"/>
    <w:rsid w:val="00AE7726"/>
    <w:rsid w:val="00AE77DA"/>
    <w:rsid w:val="00AE78CE"/>
    <w:rsid w:val="00AE79EA"/>
    <w:rsid w:val="00AE7B84"/>
    <w:rsid w:val="00AE7BC2"/>
    <w:rsid w:val="00AE7E0E"/>
    <w:rsid w:val="00AF017E"/>
    <w:rsid w:val="00AF019D"/>
    <w:rsid w:val="00AF040D"/>
    <w:rsid w:val="00AF04E6"/>
    <w:rsid w:val="00AF09D2"/>
    <w:rsid w:val="00AF09DA"/>
    <w:rsid w:val="00AF0BC9"/>
    <w:rsid w:val="00AF0D95"/>
    <w:rsid w:val="00AF0EF0"/>
    <w:rsid w:val="00AF0F6E"/>
    <w:rsid w:val="00AF11A5"/>
    <w:rsid w:val="00AF11E1"/>
    <w:rsid w:val="00AF12C9"/>
    <w:rsid w:val="00AF1320"/>
    <w:rsid w:val="00AF144B"/>
    <w:rsid w:val="00AF1512"/>
    <w:rsid w:val="00AF19D5"/>
    <w:rsid w:val="00AF1A3B"/>
    <w:rsid w:val="00AF1B57"/>
    <w:rsid w:val="00AF1B7A"/>
    <w:rsid w:val="00AF1D64"/>
    <w:rsid w:val="00AF245D"/>
    <w:rsid w:val="00AF247B"/>
    <w:rsid w:val="00AF24D2"/>
    <w:rsid w:val="00AF2501"/>
    <w:rsid w:val="00AF268F"/>
    <w:rsid w:val="00AF2838"/>
    <w:rsid w:val="00AF28E7"/>
    <w:rsid w:val="00AF2954"/>
    <w:rsid w:val="00AF2A14"/>
    <w:rsid w:val="00AF2AD1"/>
    <w:rsid w:val="00AF2ADA"/>
    <w:rsid w:val="00AF2B31"/>
    <w:rsid w:val="00AF2BE7"/>
    <w:rsid w:val="00AF3002"/>
    <w:rsid w:val="00AF31D4"/>
    <w:rsid w:val="00AF3508"/>
    <w:rsid w:val="00AF37EC"/>
    <w:rsid w:val="00AF3A6C"/>
    <w:rsid w:val="00AF3A9E"/>
    <w:rsid w:val="00AF3C3B"/>
    <w:rsid w:val="00AF3CF2"/>
    <w:rsid w:val="00AF3FB1"/>
    <w:rsid w:val="00AF4034"/>
    <w:rsid w:val="00AF40FB"/>
    <w:rsid w:val="00AF41B5"/>
    <w:rsid w:val="00AF44EE"/>
    <w:rsid w:val="00AF45B3"/>
    <w:rsid w:val="00AF4885"/>
    <w:rsid w:val="00AF4887"/>
    <w:rsid w:val="00AF49B0"/>
    <w:rsid w:val="00AF4A22"/>
    <w:rsid w:val="00AF4AC7"/>
    <w:rsid w:val="00AF4AD2"/>
    <w:rsid w:val="00AF4B9E"/>
    <w:rsid w:val="00AF4E3C"/>
    <w:rsid w:val="00AF4E95"/>
    <w:rsid w:val="00AF4F40"/>
    <w:rsid w:val="00AF4F4B"/>
    <w:rsid w:val="00AF509C"/>
    <w:rsid w:val="00AF524E"/>
    <w:rsid w:val="00AF52E0"/>
    <w:rsid w:val="00AF542C"/>
    <w:rsid w:val="00AF5972"/>
    <w:rsid w:val="00AF5A72"/>
    <w:rsid w:val="00AF5B84"/>
    <w:rsid w:val="00AF5D9C"/>
    <w:rsid w:val="00AF5FF2"/>
    <w:rsid w:val="00AF60F2"/>
    <w:rsid w:val="00AF61E1"/>
    <w:rsid w:val="00AF6251"/>
    <w:rsid w:val="00AF64A0"/>
    <w:rsid w:val="00AF64DF"/>
    <w:rsid w:val="00AF6505"/>
    <w:rsid w:val="00AF652D"/>
    <w:rsid w:val="00AF683F"/>
    <w:rsid w:val="00AF68B3"/>
    <w:rsid w:val="00AF6ACC"/>
    <w:rsid w:val="00AF6D49"/>
    <w:rsid w:val="00AF70D2"/>
    <w:rsid w:val="00AF726D"/>
    <w:rsid w:val="00AF72B8"/>
    <w:rsid w:val="00AF72C6"/>
    <w:rsid w:val="00AF73E0"/>
    <w:rsid w:val="00AF7495"/>
    <w:rsid w:val="00AF7685"/>
    <w:rsid w:val="00AF7C33"/>
    <w:rsid w:val="00AF7C78"/>
    <w:rsid w:val="00AF7D5B"/>
    <w:rsid w:val="00B0019C"/>
    <w:rsid w:val="00B00324"/>
    <w:rsid w:val="00B004D0"/>
    <w:rsid w:val="00B006B2"/>
    <w:rsid w:val="00B00711"/>
    <w:rsid w:val="00B00896"/>
    <w:rsid w:val="00B00A07"/>
    <w:rsid w:val="00B00F08"/>
    <w:rsid w:val="00B00F7B"/>
    <w:rsid w:val="00B00FCC"/>
    <w:rsid w:val="00B01368"/>
    <w:rsid w:val="00B013F3"/>
    <w:rsid w:val="00B014CD"/>
    <w:rsid w:val="00B0152B"/>
    <w:rsid w:val="00B015FD"/>
    <w:rsid w:val="00B017D8"/>
    <w:rsid w:val="00B01933"/>
    <w:rsid w:val="00B01AF4"/>
    <w:rsid w:val="00B01E7E"/>
    <w:rsid w:val="00B01F82"/>
    <w:rsid w:val="00B0206B"/>
    <w:rsid w:val="00B020E8"/>
    <w:rsid w:val="00B02156"/>
    <w:rsid w:val="00B022C6"/>
    <w:rsid w:val="00B022CD"/>
    <w:rsid w:val="00B0260D"/>
    <w:rsid w:val="00B0277B"/>
    <w:rsid w:val="00B0287C"/>
    <w:rsid w:val="00B0292A"/>
    <w:rsid w:val="00B02A5D"/>
    <w:rsid w:val="00B02C5B"/>
    <w:rsid w:val="00B02F82"/>
    <w:rsid w:val="00B03012"/>
    <w:rsid w:val="00B03075"/>
    <w:rsid w:val="00B03206"/>
    <w:rsid w:val="00B03337"/>
    <w:rsid w:val="00B0335B"/>
    <w:rsid w:val="00B03383"/>
    <w:rsid w:val="00B0343E"/>
    <w:rsid w:val="00B035EC"/>
    <w:rsid w:val="00B0364B"/>
    <w:rsid w:val="00B03717"/>
    <w:rsid w:val="00B037C1"/>
    <w:rsid w:val="00B0384C"/>
    <w:rsid w:val="00B038FC"/>
    <w:rsid w:val="00B03902"/>
    <w:rsid w:val="00B03958"/>
    <w:rsid w:val="00B03A52"/>
    <w:rsid w:val="00B03B15"/>
    <w:rsid w:val="00B03CA5"/>
    <w:rsid w:val="00B03D39"/>
    <w:rsid w:val="00B0404C"/>
    <w:rsid w:val="00B04051"/>
    <w:rsid w:val="00B040F9"/>
    <w:rsid w:val="00B04136"/>
    <w:rsid w:val="00B041A4"/>
    <w:rsid w:val="00B0425C"/>
    <w:rsid w:val="00B043AD"/>
    <w:rsid w:val="00B04651"/>
    <w:rsid w:val="00B0475D"/>
    <w:rsid w:val="00B048D0"/>
    <w:rsid w:val="00B04A40"/>
    <w:rsid w:val="00B04CC6"/>
    <w:rsid w:val="00B04D6B"/>
    <w:rsid w:val="00B05050"/>
    <w:rsid w:val="00B052C8"/>
    <w:rsid w:val="00B0534B"/>
    <w:rsid w:val="00B0534E"/>
    <w:rsid w:val="00B05485"/>
    <w:rsid w:val="00B059A1"/>
    <w:rsid w:val="00B059A8"/>
    <w:rsid w:val="00B059AD"/>
    <w:rsid w:val="00B05A23"/>
    <w:rsid w:val="00B05A77"/>
    <w:rsid w:val="00B05BC5"/>
    <w:rsid w:val="00B05C59"/>
    <w:rsid w:val="00B05D80"/>
    <w:rsid w:val="00B05F58"/>
    <w:rsid w:val="00B05F6E"/>
    <w:rsid w:val="00B06098"/>
    <w:rsid w:val="00B064F6"/>
    <w:rsid w:val="00B0662B"/>
    <w:rsid w:val="00B06638"/>
    <w:rsid w:val="00B066AB"/>
    <w:rsid w:val="00B06778"/>
    <w:rsid w:val="00B06896"/>
    <w:rsid w:val="00B06A3F"/>
    <w:rsid w:val="00B06B82"/>
    <w:rsid w:val="00B06CBF"/>
    <w:rsid w:val="00B06CE5"/>
    <w:rsid w:val="00B07277"/>
    <w:rsid w:val="00B074C9"/>
    <w:rsid w:val="00B075C8"/>
    <w:rsid w:val="00B0793C"/>
    <w:rsid w:val="00B07B7D"/>
    <w:rsid w:val="00B07CA6"/>
    <w:rsid w:val="00B07D1D"/>
    <w:rsid w:val="00B07D8B"/>
    <w:rsid w:val="00B07F11"/>
    <w:rsid w:val="00B1014F"/>
    <w:rsid w:val="00B10417"/>
    <w:rsid w:val="00B10759"/>
    <w:rsid w:val="00B1094E"/>
    <w:rsid w:val="00B109EB"/>
    <w:rsid w:val="00B10DA7"/>
    <w:rsid w:val="00B11064"/>
    <w:rsid w:val="00B11178"/>
    <w:rsid w:val="00B1139E"/>
    <w:rsid w:val="00B113F8"/>
    <w:rsid w:val="00B1167C"/>
    <w:rsid w:val="00B11943"/>
    <w:rsid w:val="00B11AC3"/>
    <w:rsid w:val="00B11BF0"/>
    <w:rsid w:val="00B11D4B"/>
    <w:rsid w:val="00B11D65"/>
    <w:rsid w:val="00B11F9C"/>
    <w:rsid w:val="00B11FCB"/>
    <w:rsid w:val="00B12061"/>
    <w:rsid w:val="00B12134"/>
    <w:rsid w:val="00B121FA"/>
    <w:rsid w:val="00B12212"/>
    <w:rsid w:val="00B12286"/>
    <w:rsid w:val="00B125D3"/>
    <w:rsid w:val="00B12602"/>
    <w:rsid w:val="00B126CF"/>
    <w:rsid w:val="00B1281E"/>
    <w:rsid w:val="00B129C6"/>
    <w:rsid w:val="00B12A18"/>
    <w:rsid w:val="00B12A7F"/>
    <w:rsid w:val="00B12B01"/>
    <w:rsid w:val="00B12BC0"/>
    <w:rsid w:val="00B12C49"/>
    <w:rsid w:val="00B12FAE"/>
    <w:rsid w:val="00B12FEF"/>
    <w:rsid w:val="00B13037"/>
    <w:rsid w:val="00B130D6"/>
    <w:rsid w:val="00B13246"/>
    <w:rsid w:val="00B13361"/>
    <w:rsid w:val="00B1349E"/>
    <w:rsid w:val="00B135FE"/>
    <w:rsid w:val="00B13673"/>
    <w:rsid w:val="00B13B3A"/>
    <w:rsid w:val="00B13C05"/>
    <w:rsid w:val="00B13D81"/>
    <w:rsid w:val="00B13E11"/>
    <w:rsid w:val="00B13F2A"/>
    <w:rsid w:val="00B13F2D"/>
    <w:rsid w:val="00B14249"/>
    <w:rsid w:val="00B142A8"/>
    <w:rsid w:val="00B14362"/>
    <w:rsid w:val="00B143DD"/>
    <w:rsid w:val="00B14502"/>
    <w:rsid w:val="00B145AB"/>
    <w:rsid w:val="00B1469B"/>
    <w:rsid w:val="00B14792"/>
    <w:rsid w:val="00B147E7"/>
    <w:rsid w:val="00B148C5"/>
    <w:rsid w:val="00B149A7"/>
    <w:rsid w:val="00B14B58"/>
    <w:rsid w:val="00B14BB8"/>
    <w:rsid w:val="00B14BB9"/>
    <w:rsid w:val="00B14C0B"/>
    <w:rsid w:val="00B14C7D"/>
    <w:rsid w:val="00B15096"/>
    <w:rsid w:val="00B15155"/>
    <w:rsid w:val="00B1554A"/>
    <w:rsid w:val="00B15722"/>
    <w:rsid w:val="00B1573A"/>
    <w:rsid w:val="00B15756"/>
    <w:rsid w:val="00B1595E"/>
    <w:rsid w:val="00B15A6A"/>
    <w:rsid w:val="00B15D6F"/>
    <w:rsid w:val="00B15EBF"/>
    <w:rsid w:val="00B15F8D"/>
    <w:rsid w:val="00B16032"/>
    <w:rsid w:val="00B16294"/>
    <w:rsid w:val="00B163E1"/>
    <w:rsid w:val="00B163ED"/>
    <w:rsid w:val="00B16575"/>
    <w:rsid w:val="00B165E6"/>
    <w:rsid w:val="00B16715"/>
    <w:rsid w:val="00B1691B"/>
    <w:rsid w:val="00B16AB7"/>
    <w:rsid w:val="00B16CB2"/>
    <w:rsid w:val="00B16CE9"/>
    <w:rsid w:val="00B16DAE"/>
    <w:rsid w:val="00B16E27"/>
    <w:rsid w:val="00B17137"/>
    <w:rsid w:val="00B17268"/>
    <w:rsid w:val="00B173C0"/>
    <w:rsid w:val="00B17461"/>
    <w:rsid w:val="00B174A0"/>
    <w:rsid w:val="00B1753B"/>
    <w:rsid w:val="00B1777E"/>
    <w:rsid w:val="00B179A6"/>
    <w:rsid w:val="00B17A9C"/>
    <w:rsid w:val="00B17B29"/>
    <w:rsid w:val="00B17C57"/>
    <w:rsid w:val="00B17E62"/>
    <w:rsid w:val="00B17E74"/>
    <w:rsid w:val="00B17EBE"/>
    <w:rsid w:val="00B200F5"/>
    <w:rsid w:val="00B2011D"/>
    <w:rsid w:val="00B202F1"/>
    <w:rsid w:val="00B20395"/>
    <w:rsid w:val="00B20770"/>
    <w:rsid w:val="00B20A36"/>
    <w:rsid w:val="00B20B6B"/>
    <w:rsid w:val="00B20BDB"/>
    <w:rsid w:val="00B20C72"/>
    <w:rsid w:val="00B20E54"/>
    <w:rsid w:val="00B20E65"/>
    <w:rsid w:val="00B20E71"/>
    <w:rsid w:val="00B20F6A"/>
    <w:rsid w:val="00B21013"/>
    <w:rsid w:val="00B2120D"/>
    <w:rsid w:val="00B216BE"/>
    <w:rsid w:val="00B21872"/>
    <w:rsid w:val="00B2191B"/>
    <w:rsid w:val="00B21AAE"/>
    <w:rsid w:val="00B21AC0"/>
    <w:rsid w:val="00B21FEF"/>
    <w:rsid w:val="00B2205A"/>
    <w:rsid w:val="00B220F8"/>
    <w:rsid w:val="00B22273"/>
    <w:rsid w:val="00B223A3"/>
    <w:rsid w:val="00B22452"/>
    <w:rsid w:val="00B2276E"/>
    <w:rsid w:val="00B22793"/>
    <w:rsid w:val="00B229C1"/>
    <w:rsid w:val="00B22B8D"/>
    <w:rsid w:val="00B22DA0"/>
    <w:rsid w:val="00B22E52"/>
    <w:rsid w:val="00B22F2C"/>
    <w:rsid w:val="00B22F59"/>
    <w:rsid w:val="00B2364C"/>
    <w:rsid w:val="00B23793"/>
    <w:rsid w:val="00B23856"/>
    <w:rsid w:val="00B23987"/>
    <w:rsid w:val="00B23C19"/>
    <w:rsid w:val="00B23C2C"/>
    <w:rsid w:val="00B23D71"/>
    <w:rsid w:val="00B2402E"/>
    <w:rsid w:val="00B241F4"/>
    <w:rsid w:val="00B24685"/>
    <w:rsid w:val="00B2468C"/>
    <w:rsid w:val="00B247D0"/>
    <w:rsid w:val="00B24858"/>
    <w:rsid w:val="00B248C3"/>
    <w:rsid w:val="00B2499E"/>
    <w:rsid w:val="00B249A8"/>
    <w:rsid w:val="00B249C0"/>
    <w:rsid w:val="00B24A28"/>
    <w:rsid w:val="00B24BD8"/>
    <w:rsid w:val="00B24C88"/>
    <w:rsid w:val="00B24CB3"/>
    <w:rsid w:val="00B24E81"/>
    <w:rsid w:val="00B2510A"/>
    <w:rsid w:val="00B2521A"/>
    <w:rsid w:val="00B2532F"/>
    <w:rsid w:val="00B256E1"/>
    <w:rsid w:val="00B2579D"/>
    <w:rsid w:val="00B25824"/>
    <w:rsid w:val="00B25BE5"/>
    <w:rsid w:val="00B2608A"/>
    <w:rsid w:val="00B262D4"/>
    <w:rsid w:val="00B263AF"/>
    <w:rsid w:val="00B264E9"/>
    <w:rsid w:val="00B2653E"/>
    <w:rsid w:val="00B2655B"/>
    <w:rsid w:val="00B26576"/>
    <w:rsid w:val="00B265F6"/>
    <w:rsid w:val="00B26814"/>
    <w:rsid w:val="00B26C71"/>
    <w:rsid w:val="00B26E09"/>
    <w:rsid w:val="00B2703F"/>
    <w:rsid w:val="00B27192"/>
    <w:rsid w:val="00B27232"/>
    <w:rsid w:val="00B273F9"/>
    <w:rsid w:val="00B2782F"/>
    <w:rsid w:val="00B278EB"/>
    <w:rsid w:val="00B2799F"/>
    <w:rsid w:val="00B27A6B"/>
    <w:rsid w:val="00B27DD8"/>
    <w:rsid w:val="00B27EBB"/>
    <w:rsid w:val="00B27F58"/>
    <w:rsid w:val="00B301F0"/>
    <w:rsid w:val="00B305E5"/>
    <w:rsid w:val="00B305EF"/>
    <w:rsid w:val="00B306DE"/>
    <w:rsid w:val="00B30712"/>
    <w:rsid w:val="00B3075B"/>
    <w:rsid w:val="00B30A5B"/>
    <w:rsid w:val="00B30A68"/>
    <w:rsid w:val="00B30ABD"/>
    <w:rsid w:val="00B30C36"/>
    <w:rsid w:val="00B30C77"/>
    <w:rsid w:val="00B30D9C"/>
    <w:rsid w:val="00B30E54"/>
    <w:rsid w:val="00B30F5C"/>
    <w:rsid w:val="00B30FC6"/>
    <w:rsid w:val="00B30FF9"/>
    <w:rsid w:val="00B31100"/>
    <w:rsid w:val="00B31161"/>
    <w:rsid w:val="00B311D0"/>
    <w:rsid w:val="00B31424"/>
    <w:rsid w:val="00B315DE"/>
    <w:rsid w:val="00B31720"/>
    <w:rsid w:val="00B31811"/>
    <w:rsid w:val="00B31846"/>
    <w:rsid w:val="00B3193B"/>
    <w:rsid w:val="00B31EE0"/>
    <w:rsid w:val="00B31F5B"/>
    <w:rsid w:val="00B321C6"/>
    <w:rsid w:val="00B322A8"/>
    <w:rsid w:val="00B32439"/>
    <w:rsid w:val="00B32481"/>
    <w:rsid w:val="00B325C1"/>
    <w:rsid w:val="00B3272D"/>
    <w:rsid w:val="00B32821"/>
    <w:rsid w:val="00B3291F"/>
    <w:rsid w:val="00B32A90"/>
    <w:rsid w:val="00B32DA4"/>
    <w:rsid w:val="00B32E82"/>
    <w:rsid w:val="00B33039"/>
    <w:rsid w:val="00B330D9"/>
    <w:rsid w:val="00B33148"/>
    <w:rsid w:val="00B33448"/>
    <w:rsid w:val="00B3361B"/>
    <w:rsid w:val="00B33681"/>
    <w:rsid w:val="00B33834"/>
    <w:rsid w:val="00B338D6"/>
    <w:rsid w:val="00B33903"/>
    <w:rsid w:val="00B33998"/>
    <w:rsid w:val="00B339A6"/>
    <w:rsid w:val="00B33B3C"/>
    <w:rsid w:val="00B33B4B"/>
    <w:rsid w:val="00B33B61"/>
    <w:rsid w:val="00B33C29"/>
    <w:rsid w:val="00B33C97"/>
    <w:rsid w:val="00B33CEA"/>
    <w:rsid w:val="00B33D9B"/>
    <w:rsid w:val="00B33EB0"/>
    <w:rsid w:val="00B341B2"/>
    <w:rsid w:val="00B3420E"/>
    <w:rsid w:val="00B34235"/>
    <w:rsid w:val="00B3429C"/>
    <w:rsid w:val="00B34326"/>
    <w:rsid w:val="00B3435E"/>
    <w:rsid w:val="00B34720"/>
    <w:rsid w:val="00B34778"/>
    <w:rsid w:val="00B34A95"/>
    <w:rsid w:val="00B34C1A"/>
    <w:rsid w:val="00B34CE4"/>
    <w:rsid w:val="00B34E06"/>
    <w:rsid w:val="00B34E0C"/>
    <w:rsid w:val="00B34E7E"/>
    <w:rsid w:val="00B34EC8"/>
    <w:rsid w:val="00B34F5A"/>
    <w:rsid w:val="00B3505A"/>
    <w:rsid w:val="00B3511F"/>
    <w:rsid w:val="00B35265"/>
    <w:rsid w:val="00B3535B"/>
    <w:rsid w:val="00B3549D"/>
    <w:rsid w:val="00B35537"/>
    <w:rsid w:val="00B355A9"/>
    <w:rsid w:val="00B35687"/>
    <w:rsid w:val="00B358CF"/>
    <w:rsid w:val="00B35A0D"/>
    <w:rsid w:val="00B35B11"/>
    <w:rsid w:val="00B35DC2"/>
    <w:rsid w:val="00B35E20"/>
    <w:rsid w:val="00B35F82"/>
    <w:rsid w:val="00B35FB8"/>
    <w:rsid w:val="00B36058"/>
    <w:rsid w:val="00B3623C"/>
    <w:rsid w:val="00B362DE"/>
    <w:rsid w:val="00B36325"/>
    <w:rsid w:val="00B3646A"/>
    <w:rsid w:val="00B36724"/>
    <w:rsid w:val="00B369B4"/>
    <w:rsid w:val="00B36A05"/>
    <w:rsid w:val="00B36AE2"/>
    <w:rsid w:val="00B36BB0"/>
    <w:rsid w:val="00B36C3C"/>
    <w:rsid w:val="00B36CF7"/>
    <w:rsid w:val="00B36DEF"/>
    <w:rsid w:val="00B36F4B"/>
    <w:rsid w:val="00B37096"/>
    <w:rsid w:val="00B370A3"/>
    <w:rsid w:val="00B372A7"/>
    <w:rsid w:val="00B3786D"/>
    <w:rsid w:val="00B37A5C"/>
    <w:rsid w:val="00B37C1F"/>
    <w:rsid w:val="00B37D25"/>
    <w:rsid w:val="00B37D36"/>
    <w:rsid w:val="00B4028F"/>
    <w:rsid w:val="00B40444"/>
    <w:rsid w:val="00B4047C"/>
    <w:rsid w:val="00B4054F"/>
    <w:rsid w:val="00B405E7"/>
    <w:rsid w:val="00B40709"/>
    <w:rsid w:val="00B4079B"/>
    <w:rsid w:val="00B4080D"/>
    <w:rsid w:val="00B40B93"/>
    <w:rsid w:val="00B40BE6"/>
    <w:rsid w:val="00B40FBE"/>
    <w:rsid w:val="00B4103A"/>
    <w:rsid w:val="00B4107D"/>
    <w:rsid w:val="00B410FE"/>
    <w:rsid w:val="00B41154"/>
    <w:rsid w:val="00B41199"/>
    <w:rsid w:val="00B411AF"/>
    <w:rsid w:val="00B4132E"/>
    <w:rsid w:val="00B4138C"/>
    <w:rsid w:val="00B41A7D"/>
    <w:rsid w:val="00B41B9D"/>
    <w:rsid w:val="00B41C6B"/>
    <w:rsid w:val="00B41E72"/>
    <w:rsid w:val="00B41ED6"/>
    <w:rsid w:val="00B4214A"/>
    <w:rsid w:val="00B42522"/>
    <w:rsid w:val="00B4258F"/>
    <w:rsid w:val="00B42766"/>
    <w:rsid w:val="00B427F4"/>
    <w:rsid w:val="00B42808"/>
    <w:rsid w:val="00B42A08"/>
    <w:rsid w:val="00B42AC7"/>
    <w:rsid w:val="00B42BA5"/>
    <w:rsid w:val="00B42C07"/>
    <w:rsid w:val="00B42E7C"/>
    <w:rsid w:val="00B42E9F"/>
    <w:rsid w:val="00B42F41"/>
    <w:rsid w:val="00B4309E"/>
    <w:rsid w:val="00B43138"/>
    <w:rsid w:val="00B431AC"/>
    <w:rsid w:val="00B431CF"/>
    <w:rsid w:val="00B43488"/>
    <w:rsid w:val="00B4351F"/>
    <w:rsid w:val="00B436B5"/>
    <w:rsid w:val="00B437C3"/>
    <w:rsid w:val="00B43AA7"/>
    <w:rsid w:val="00B44155"/>
    <w:rsid w:val="00B443BC"/>
    <w:rsid w:val="00B44661"/>
    <w:rsid w:val="00B44710"/>
    <w:rsid w:val="00B447C7"/>
    <w:rsid w:val="00B4483A"/>
    <w:rsid w:val="00B45020"/>
    <w:rsid w:val="00B45059"/>
    <w:rsid w:val="00B450A2"/>
    <w:rsid w:val="00B4519B"/>
    <w:rsid w:val="00B45204"/>
    <w:rsid w:val="00B4525E"/>
    <w:rsid w:val="00B45302"/>
    <w:rsid w:val="00B4566B"/>
    <w:rsid w:val="00B4570D"/>
    <w:rsid w:val="00B45888"/>
    <w:rsid w:val="00B45A6A"/>
    <w:rsid w:val="00B45AA5"/>
    <w:rsid w:val="00B45B3A"/>
    <w:rsid w:val="00B45CE9"/>
    <w:rsid w:val="00B45DA6"/>
    <w:rsid w:val="00B45DBA"/>
    <w:rsid w:val="00B45DBE"/>
    <w:rsid w:val="00B45F44"/>
    <w:rsid w:val="00B460EC"/>
    <w:rsid w:val="00B46562"/>
    <w:rsid w:val="00B46721"/>
    <w:rsid w:val="00B4674B"/>
    <w:rsid w:val="00B4687E"/>
    <w:rsid w:val="00B4697A"/>
    <w:rsid w:val="00B46A71"/>
    <w:rsid w:val="00B46B5F"/>
    <w:rsid w:val="00B46D2C"/>
    <w:rsid w:val="00B46F38"/>
    <w:rsid w:val="00B47409"/>
    <w:rsid w:val="00B47465"/>
    <w:rsid w:val="00B47AC4"/>
    <w:rsid w:val="00B47B32"/>
    <w:rsid w:val="00B47B6C"/>
    <w:rsid w:val="00B47B83"/>
    <w:rsid w:val="00B503F6"/>
    <w:rsid w:val="00B5050A"/>
    <w:rsid w:val="00B505B6"/>
    <w:rsid w:val="00B50759"/>
    <w:rsid w:val="00B50777"/>
    <w:rsid w:val="00B510B4"/>
    <w:rsid w:val="00B513B7"/>
    <w:rsid w:val="00B51547"/>
    <w:rsid w:val="00B51557"/>
    <w:rsid w:val="00B51587"/>
    <w:rsid w:val="00B51B49"/>
    <w:rsid w:val="00B51EC6"/>
    <w:rsid w:val="00B5272C"/>
    <w:rsid w:val="00B52886"/>
    <w:rsid w:val="00B528EC"/>
    <w:rsid w:val="00B52911"/>
    <w:rsid w:val="00B52A6C"/>
    <w:rsid w:val="00B52AF3"/>
    <w:rsid w:val="00B52BA0"/>
    <w:rsid w:val="00B52BBB"/>
    <w:rsid w:val="00B52CD9"/>
    <w:rsid w:val="00B52CE6"/>
    <w:rsid w:val="00B52F3D"/>
    <w:rsid w:val="00B5300C"/>
    <w:rsid w:val="00B534C3"/>
    <w:rsid w:val="00B534E8"/>
    <w:rsid w:val="00B53581"/>
    <w:rsid w:val="00B536E6"/>
    <w:rsid w:val="00B53745"/>
    <w:rsid w:val="00B539C2"/>
    <w:rsid w:val="00B539E5"/>
    <w:rsid w:val="00B53A30"/>
    <w:rsid w:val="00B53A54"/>
    <w:rsid w:val="00B53C2F"/>
    <w:rsid w:val="00B53C62"/>
    <w:rsid w:val="00B53CC1"/>
    <w:rsid w:val="00B53D16"/>
    <w:rsid w:val="00B53D78"/>
    <w:rsid w:val="00B53F25"/>
    <w:rsid w:val="00B53FBD"/>
    <w:rsid w:val="00B5405D"/>
    <w:rsid w:val="00B54088"/>
    <w:rsid w:val="00B5408E"/>
    <w:rsid w:val="00B540B0"/>
    <w:rsid w:val="00B541DE"/>
    <w:rsid w:val="00B5425E"/>
    <w:rsid w:val="00B54280"/>
    <w:rsid w:val="00B542C3"/>
    <w:rsid w:val="00B543A3"/>
    <w:rsid w:val="00B54451"/>
    <w:rsid w:val="00B546D8"/>
    <w:rsid w:val="00B5483A"/>
    <w:rsid w:val="00B54AF2"/>
    <w:rsid w:val="00B54D99"/>
    <w:rsid w:val="00B5520D"/>
    <w:rsid w:val="00B55230"/>
    <w:rsid w:val="00B556E9"/>
    <w:rsid w:val="00B55858"/>
    <w:rsid w:val="00B558E6"/>
    <w:rsid w:val="00B55ADA"/>
    <w:rsid w:val="00B55B38"/>
    <w:rsid w:val="00B55BA0"/>
    <w:rsid w:val="00B55CBF"/>
    <w:rsid w:val="00B55FC0"/>
    <w:rsid w:val="00B564E7"/>
    <w:rsid w:val="00B5698F"/>
    <w:rsid w:val="00B56C56"/>
    <w:rsid w:val="00B56CA1"/>
    <w:rsid w:val="00B56CC7"/>
    <w:rsid w:val="00B56F25"/>
    <w:rsid w:val="00B57145"/>
    <w:rsid w:val="00B5763D"/>
    <w:rsid w:val="00B5766C"/>
    <w:rsid w:val="00B5767F"/>
    <w:rsid w:val="00B57799"/>
    <w:rsid w:val="00B577FF"/>
    <w:rsid w:val="00B601D7"/>
    <w:rsid w:val="00B601EB"/>
    <w:rsid w:val="00B6021A"/>
    <w:rsid w:val="00B60309"/>
    <w:rsid w:val="00B6041F"/>
    <w:rsid w:val="00B6043E"/>
    <w:rsid w:val="00B60726"/>
    <w:rsid w:val="00B60B71"/>
    <w:rsid w:val="00B60CE1"/>
    <w:rsid w:val="00B60D69"/>
    <w:rsid w:val="00B60E06"/>
    <w:rsid w:val="00B60F10"/>
    <w:rsid w:val="00B60FB7"/>
    <w:rsid w:val="00B61004"/>
    <w:rsid w:val="00B6104F"/>
    <w:rsid w:val="00B6134F"/>
    <w:rsid w:val="00B613AC"/>
    <w:rsid w:val="00B61A43"/>
    <w:rsid w:val="00B625EF"/>
    <w:rsid w:val="00B62A2C"/>
    <w:rsid w:val="00B62D3B"/>
    <w:rsid w:val="00B62EA0"/>
    <w:rsid w:val="00B62F67"/>
    <w:rsid w:val="00B6355A"/>
    <w:rsid w:val="00B6367E"/>
    <w:rsid w:val="00B63D14"/>
    <w:rsid w:val="00B63F09"/>
    <w:rsid w:val="00B641C3"/>
    <w:rsid w:val="00B645D9"/>
    <w:rsid w:val="00B6462C"/>
    <w:rsid w:val="00B6464F"/>
    <w:rsid w:val="00B64699"/>
    <w:rsid w:val="00B64842"/>
    <w:rsid w:val="00B649ED"/>
    <w:rsid w:val="00B64A7C"/>
    <w:rsid w:val="00B64AE0"/>
    <w:rsid w:val="00B64C1A"/>
    <w:rsid w:val="00B64C1B"/>
    <w:rsid w:val="00B64D69"/>
    <w:rsid w:val="00B64E7B"/>
    <w:rsid w:val="00B6504E"/>
    <w:rsid w:val="00B65199"/>
    <w:rsid w:val="00B6526E"/>
    <w:rsid w:val="00B65442"/>
    <w:rsid w:val="00B65453"/>
    <w:rsid w:val="00B6578B"/>
    <w:rsid w:val="00B6580C"/>
    <w:rsid w:val="00B65857"/>
    <w:rsid w:val="00B65A0C"/>
    <w:rsid w:val="00B65D7D"/>
    <w:rsid w:val="00B66084"/>
    <w:rsid w:val="00B66141"/>
    <w:rsid w:val="00B6634A"/>
    <w:rsid w:val="00B6637E"/>
    <w:rsid w:val="00B66402"/>
    <w:rsid w:val="00B6642E"/>
    <w:rsid w:val="00B66456"/>
    <w:rsid w:val="00B6646B"/>
    <w:rsid w:val="00B6654C"/>
    <w:rsid w:val="00B665F1"/>
    <w:rsid w:val="00B6669D"/>
    <w:rsid w:val="00B667BF"/>
    <w:rsid w:val="00B669C3"/>
    <w:rsid w:val="00B66B3A"/>
    <w:rsid w:val="00B66BA6"/>
    <w:rsid w:val="00B66DC6"/>
    <w:rsid w:val="00B66ED9"/>
    <w:rsid w:val="00B66FDC"/>
    <w:rsid w:val="00B66FE8"/>
    <w:rsid w:val="00B6708F"/>
    <w:rsid w:val="00B67335"/>
    <w:rsid w:val="00B6745D"/>
    <w:rsid w:val="00B674E3"/>
    <w:rsid w:val="00B676CC"/>
    <w:rsid w:val="00B6779E"/>
    <w:rsid w:val="00B679A7"/>
    <w:rsid w:val="00B67AF4"/>
    <w:rsid w:val="00B67C5D"/>
    <w:rsid w:val="00B67E49"/>
    <w:rsid w:val="00B67ECD"/>
    <w:rsid w:val="00B67F85"/>
    <w:rsid w:val="00B70074"/>
    <w:rsid w:val="00B701D9"/>
    <w:rsid w:val="00B702CF"/>
    <w:rsid w:val="00B703AB"/>
    <w:rsid w:val="00B704FE"/>
    <w:rsid w:val="00B70637"/>
    <w:rsid w:val="00B706EE"/>
    <w:rsid w:val="00B70770"/>
    <w:rsid w:val="00B70A3D"/>
    <w:rsid w:val="00B70B1C"/>
    <w:rsid w:val="00B70C8D"/>
    <w:rsid w:val="00B70CDF"/>
    <w:rsid w:val="00B70E17"/>
    <w:rsid w:val="00B70FDF"/>
    <w:rsid w:val="00B710DB"/>
    <w:rsid w:val="00B710FD"/>
    <w:rsid w:val="00B7113D"/>
    <w:rsid w:val="00B7114F"/>
    <w:rsid w:val="00B71299"/>
    <w:rsid w:val="00B71539"/>
    <w:rsid w:val="00B717F6"/>
    <w:rsid w:val="00B71AC9"/>
    <w:rsid w:val="00B71C53"/>
    <w:rsid w:val="00B71DEA"/>
    <w:rsid w:val="00B72029"/>
    <w:rsid w:val="00B72065"/>
    <w:rsid w:val="00B72245"/>
    <w:rsid w:val="00B7237D"/>
    <w:rsid w:val="00B724B4"/>
    <w:rsid w:val="00B72507"/>
    <w:rsid w:val="00B72519"/>
    <w:rsid w:val="00B72662"/>
    <w:rsid w:val="00B72AC2"/>
    <w:rsid w:val="00B72D43"/>
    <w:rsid w:val="00B72DA0"/>
    <w:rsid w:val="00B72DFE"/>
    <w:rsid w:val="00B72E73"/>
    <w:rsid w:val="00B72FC5"/>
    <w:rsid w:val="00B7308E"/>
    <w:rsid w:val="00B7312D"/>
    <w:rsid w:val="00B731CB"/>
    <w:rsid w:val="00B7326D"/>
    <w:rsid w:val="00B73861"/>
    <w:rsid w:val="00B7394F"/>
    <w:rsid w:val="00B73994"/>
    <w:rsid w:val="00B73B5E"/>
    <w:rsid w:val="00B73B89"/>
    <w:rsid w:val="00B73BA4"/>
    <w:rsid w:val="00B73C46"/>
    <w:rsid w:val="00B73E3C"/>
    <w:rsid w:val="00B74013"/>
    <w:rsid w:val="00B740BA"/>
    <w:rsid w:val="00B740FE"/>
    <w:rsid w:val="00B74532"/>
    <w:rsid w:val="00B747F4"/>
    <w:rsid w:val="00B74A44"/>
    <w:rsid w:val="00B74C63"/>
    <w:rsid w:val="00B74EC1"/>
    <w:rsid w:val="00B74EE7"/>
    <w:rsid w:val="00B74F81"/>
    <w:rsid w:val="00B74F8F"/>
    <w:rsid w:val="00B75115"/>
    <w:rsid w:val="00B75291"/>
    <w:rsid w:val="00B752A7"/>
    <w:rsid w:val="00B754C0"/>
    <w:rsid w:val="00B755B0"/>
    <w:rsid w:val="00B755E3"/>
    <w:rsid w:val="00B75715"/>
    <w:rsid w:val="00B7592C"/>
    <w:rsid w:val="00B7597E"/>
    <w:rsid w:val="00B75B3D"/>
    <w:rsid w:val="00B75FCE"/>
    <w:rsid w:val="00B7628E"/>
    <w:rsid w:val="00B76467"/>
    <w:rsid w:val="00B76692"/>
    <w:rsid w:val="00B7682F"/>
    <w:rsid w:val="00B769FC"/>
    <w:rsid w:val="00B76A2F"/>
    <w:rsid w:val="00B76BDF"/>
    <w:rsid w:val="00B76C71"/>
    <w:rsid w:val="00B76CAE"/>
    <w:rsid w:val="00B76CD2"/>
    <w:rsid w:val="00B76CF9"/>
    <w:rsid w:val="00B76E2F"/>
    <w:rsid w:val="00B76EB9"/>
    <w:rsid w:val="00B76EED"/>
    <w:rsid w:val="00B7710C"/>
    <w:rsid w:val="00B77194"/>
    <w:rsid w:val="00B77198"/>
    <w:rsid w:val="00B772AD"/>
    <w:rsid w:val="00B772B7"/>
    <w:rsid w:val="00B772EA"/>
    <w:rsid w:val="00B77595"/>
    <w:rsid w:val="00B77A93"/>
    <w:rsid w:val="00B77C17"/>
    <w:rsid w:val="00B77C42"/>
    <w:rsid w:val="00B77DA4"/>
    <w:rsid w:val="00B77E21"/>
    <w:rsid w:val="00B77F0F"/>
    <w:rsid w:val="00B77F60"/>
    <w:rsid w:val="00B8017E"/>
    <w:rsid w:val="00B801C5"/>
    <w:rsid w:val="00B80555"/>
    <w:rsid w:val="00B80800"/>
    <w:rsid w:val="00B80808"/>
    <w:rsid w:val="00B80836"/>
    <w:rsid w:val="00B809F2"/>
    <w:rsid w:val="00B80A4A"/>
    <w:rsid w:val="00B8117B"/>
    <w:rsid w:val="00B811AC"/>
    <w:rsid w:val="00B812EB"/>
    <w:rsid w:val="00B81405"/>
    <w:rsid w:val="00B814A4"/>
    <w:rsid w:val="00B819CF"/>
    <w:rsid w:val="00B81B78"/>
    <w:rsid w:val="00B81BFE"/>
    <w:rsid w:val="00B81C60"/>
    <w:rsid w:val="00B81D35"/>
    <w:rsid w:val="00B81DD4"/>
    <w:rsid w:val="00B81FF7"/>
    <w:rsid w:val="00B82184"/>
    <w:rsid w:val="00B822B2"/>
    <w:rsid w:val="00B82354"/>
    <w:rsid w:val="00B823C2"/>
    <w:rsid w:val="00B82547"/>
    <w:rsid w:val="00B82603"/>
    <w:rsid w:val="00B826DC"/>
    <w:rsid w:val="00B826ED"/>
    <w:rsid w:val="00B826FF"/>
    <w:rsid w:val="00B829F8"/>
    <w:rsid w:val="00B82AB8"/>
    <w:rsid w:val="00B82B4D"/>
    <w:rsid w:val="00B82BED"/>
    <w:rsid w:val="00B82EC0"/>
    <w:rsid w:val="00B82F2A"/>
    <w:rsid w:val="00B83018"/>
    <w:rsid w:val="00B83174"/>
    <w:rsid w:val="00B831D6"/>
    <w:rsid w:val="00B83260"/>
    <w:rsid w:val="00B83599"/>
    <w:rsid w:val="00B83679"/>
    <w:rsid w:val="00B83768"/>
    <w:rsid w:val="00B83773"/>
    <w:rsid w:val="00B837DF"/>
    <w:rsid w:val="00B839CA"/>
    <w:rsid w:val="00B83A43"/>
    <w:rsid w:val="00B83B41"/>
    <w:rsid w:val="00B83D01"/>
    <w:rsid w:val="00B83D34"/>
    <w:rsid w:val="00B83DDA"/>
    <w:rsid w:val="00B8420B"/>
    <w:rsid w:val="00B84212"/>
    <w:rsid w:val="00B8423A"/>
    <w:rsid w:val="00B842AE"/>
    <w:rsid w:val="00B84490"/>
    <w:rsid w:val="00B84524"/>
    <w:rsid w:val="00B84634"/>
    <w:rsid w:val="00B84692"/>
    <w:rsid w:val="00B84A76"/>
    <w:rsid w:val="00B84C9B"/>
    <w:rsid w:val="00B85135"/>
    <w:rsid w:val="00B85159"/>
    <w:rsid w:val="00B85182"/>
    <w:rsid w:val="00B85242"/>
    <w:rsid w:val="00B855BE"/>
    <w:rsid w:val="00B85616"/>
    <w:rsid w:val="00B85628"/>
    <w:rsid w:val="00B85AD7"/>
    <w:rsid w:val="00B85C7C"/>
    <w:rsid w:val="00B85DA2"/>
    <w:rsid w:val="00B85EFD"/>
    <w:rsid w:val="00B86216"/>
    <w:rsid w:val="00B864B3"/>
    <w:rsid w:val="00B866C8"/>
    <w:rsid w:val="00B86825"/>
    <w:rsid w:val="00B86852"/>
    <w:rsid w:val="00B869AC"/>
    <w:rsid w:val="00B86B73"/>
    <w:rsid w:val="00B86CC1"/>
    <w:rsid w:val="00B86FAA"/>
    <w:rsid w:val="00B87055"/>
    <w:rsid w:val="00B87062"/>
    <w:rsid w:val="00B8732E"/>
    <w:rsid w:val="00B8746B"/>
    <w:rsid w:val="00B87547"/>
    <w:rsid w:val="00B875F8"/>
    <w:rsid w:val="00B87857"/>
    <w:rsid w:val="00B8790A"/>
    <w:rsid w:val="00B87AB3"/>
    <w:rsid w:val="00B87B3A"/>
    <w:rsid w:val="00B87B76"/>
    <w:rsid w:val="00B87E49"/>
    <w:rsid w:val="00B90050"/>
    <w:rsid w:val="00B9005B"/>
    <w:rsid w:val="00B9016E"/>
    <w:rsid w:val="00B9023A"/>
    <w:rsid w:val="00B90298"/>
    <w:rsid w:val="00B908BB"/>
    <w:rsid w:val="00B9092E"/>
    <w:rsid w:val="00B9094B"/>
    <w:rsid w:val="00B9097B"/>
    <w:rsid w:val="00B90BF6"/>
    <w:rsid w:val="00B91049"/>
    <w:rsid w:val="00B91500"/>
    <w:rsid w:val="00B91524"/>
    <w:rsid w:val="00B915C8"/>
    <w:rsid w:val="00B91645"/>
    <w:rsid w:val="00B91855"/>
    <w:rsid w:val="00B918C4"/>
    <w:rsid w:val="00B918E8"/>
    <w:rsid w:val="00B919DB"/>
    <w:rsid w:val="00B91BB0"/>
    <w:rsid w:val="00B92194"/>
    <w:rsid w:val="00B9223C"/>
    <w:rsid w:val="00B92313"/>
    <w:rsid w:val="00B923A8"/>
    <w:rsid w:val="00B926F5"/>
    <w:rsid w:val="00B92800"/>
    <w:rsid w:val="00B92A98"/>
    <w:rsid w:val="00B92C8D"/>
    <w:rsid w:val="00B92C9E"/>
    <w:rsid w:val="00B92DB1"/>
    <w:rsid w:val="00B92DED"/>
    <w:rsid w:val="00B92F06"/>
    <w:rsid w:val="00B93388"/>
    <w:rsid w:val="00B936F7"/>
    <w:rsid w:val="00B93BEC"/>
    <w:rsid w:val="00B93CA5"/>
    <w:rsid w:val="00B93E22"/>
    <w:rsid w:val="00B940AE"/>
    <w:rsid w:val="00B940C7"/>
    <w:rsid w:val="00B94396"/>
    <w:rsid w:val="00B94509"/>
    <w:rsid w:val="00B9450A"/>
    <w:rsid w:val="00B94570"/>
    <w:rsid w:val="00B945E0"/>
    <w:rsid w:val="00B946E2"/>
    <w:rsid w:val="00B94769"/>
    <w:rsid w:val="00B94AF1"/>
    <w:rsid w:val="00B94E5C"/>
    <w:rsid w:val="00B950F7"/>
    <w:rsid w:val="00B9510E"/>
    <w:rsid w:val="00B953A9"/>
    <w:rsid w:val="00B95871"/>
    <w:rsid w:val="00B958A5"/>
    <w:rsid w:val="00B95935"/>
    <w:rsid w:val="00B95BB4"/>
    <w:rsid w:val="00B95CB3"/>
    <w:rsid w:val="00B95D01"/>
    <w:rsid w:val="00B95DC9"/>
    <w:rsid w:val="00B95E76"/>
    <w:rsid w:val="00B95ED4"/>
    <w:rsid w:val="00B95F91"/>
    <w:rsid w:val="00B9602A"/>
    <w:rsid w:val="00B9604E"/>
    <w:rsid w:val="00B96135"/>
    <w:rsid w:val="00B96159"/>
    <w:rsid w:val="00B9625B"/>
    <w:rsid w:val="00B96542"/>
    <w:rsid w:val="00B966E2"/>
    <w:rsid w:val="00B96709"/>
    <w:rsid w:val="00B967C6"/>
    <w:rsid w:val="00B96914"/>
    <w:rsid w:val="00B96949"/>
    <w:rsid w:val="00B96B2D"/>
    <w:rsid w:val="00B96C15"/>
    <w:rsid w:val="00B96D52"/>
    <w:rsid w:val="00B96DEF"/>
    <w:rsid w:val="00B97002"/>
    <w:rsid w:val="00B9712F"/>
    <w:rsid w:val="00B974D0"/>
    <w:rsid w:val="00B97663"/>
    <w:rsid w:val="00B976AE"/>
    <w:rsid w:val="00B977D9"/>
    <w:rsid w:val="00B979B4"/>
    <w:rsid w:val="00B979C8"/>
    <w:rsid w:val="00B97AEA"/>
    <w:rsid w:val="00B97C45"/>
    <w:rsid w:val="00B97CC2"/>
    <w:rsid w:val="00B97CC3"/>
    <w:rsid w:val="00B97DF6"/>
    <w:rsid w:val="00B97FF3"/>
    <w:rsid w:val="00BA008A"/>
    <w:rsid w:val="00BA02E3"/>
    <w:rsid w:val="00BA06AC"/>
    <w:rsid w:val="00BA07BE"/>
    <w:rsid w:val="00BA080B"/>
    <w:rsid w:val="00BA0C8B"/>
    <w:rsid w:val="00BA0D56"/>
    <w:rsid w:val="00BA10E5"/>
    <w:rsid w:val="00BA12E7"/>
    <w:rsid w:val="00BA132E"/>
    <w:rsid w:val="00BA1545"/>
    <w:rsid w:val="00BA158A"/>
    <w:rsid w:val="00BA1610"/>
    <w:rsid w:val="00BA172D"/>
    <w:rsid w:val="00BA1A70"/>
    <w:rsid w:val="00BA1A9B"/>
    <w:rsid w:val="00BA1A9C"/>
    <w:rsid w:val="00BA1BFD"/>
    <w:rsid w:val="00BA1E25"/>
    <w:rsid w:val="00BA202B"/>
    <w:rsid w:val="00BA25D6"/>
    <w:rsid w:val="00BA26B3"/>
    <w:rsid w:val="00BA2785"/>
    <w:rsid w:val="00BA2963"/>
    <w:rsid w:val="00BA29BA"/>
    <w:rsid w:val="00BA2DC1"/>
    <w:rsid w:val="00BA2F52"/>
    <w:rsid w:val="00BA3166"/>
    <w:rsid w:val="00BA33A4"/>
    <w:rsid w:val="00BA39E4"/>
    <w:rsid w:val="00BA3A1E"/>
    <w:rsid w:val="00BA3B2F"/>
    <w:rsid w:val="00BA3D8F"/>
    <w:rsid w:val="00BA3E79"/>
    <w:rsid w:val="00BA4053"/>
    <w:rsid w:val="00BA4068"/>
    <w:rsid w:val="00BA4475"/>
    <w:rsid w:val="00BA45BB"/>
    <w:rsid w:val="00BA4655"/>
    <w:rsid w:val="00BA4656"/>
    <w:rsid w:val="00BA466C"/>
    <w:rsid w:val="00BA481A"/>
    <w:rsid w:val="00BA4879"/>
    <w:rsid w:val="00BA48CF"/>
    <w:rsid w:val="00BA49AF"/>
    <w:rsid w:val="00BA4E7F"/>
    <w:rsid w:val="00BA4EC0"/>
    <w:rsid w:val="00BA512E"/>
    <w:rsid w:val="00BA5350"/>
    <w:rsid w:val="00BA54C8"/>
    <w:rsid w:val="00BA5607"/>
    <w:rsid w:val="00BA57BD"/>
    <w:rsid w:val="00BA5A4D"/>
    <w:rsid w:val="00BA5B11"/>
    <w:rsid w:val="00BA60DA"/>
    <w:rsid w:val="00BA6146"/>
    <w:rsid w:val="00BA616A"/>
    <w:rsid w:val="00BA61EB"/>
    <w:rsid w:val="00BA61EF"/>
    <w:rsid w:val="00BA6235"/>
    <w:rsid w:val="00BA666E"/>
    <w:rsid w:val="00BA679D"/>
    <w:rsid w:val="00BA68F2"/>
    <w:rsid w:val="00BA6981"/>
    <w:rsid w:val="00BA6A6F"/>
    <w:rsid w:val="00BA6D56"/>
    <w:rsid w:val="00BA6F77"/>
    <w:rsid w:val="00BA7064"/>
    <w:rsid w:val="00BA72F5"/>
    <w:rsid w:val="00BA7332"/>
    <w:rsid w:val="00BA75E0"/>
    <w:rsid w:val="00BA760F"/>
    <w:rsid w:val="00BA7786"/>
    <w:rsid w:val="00BA7851"/>
    <w:rsid w:val="00BA790E"/>
    <w:rsid w:val="00BA7C02"/>
    <w:rsid w:val="00BA7F85"/>
    <w:rsid w:val="00BA7FE6"/>
    <w:rsid w:val="00BB0015"/>
    <w:rsid w:val="00BB03E0"/>
    <w:rsid w:val="00BB0513"/>
    <w:rsid w:val="00BB05FA"/>
    <w:rsid w:val="00BB0630"/>
    <w:rsid w:val="00BB0654"/>
    <w:rsid w:val="00BB06EA"/>
    <w:rsid w:val="00BB0A21"/>
    <w:rsid w:val="00BB0B96"/>
    <w:rsid w:val="00BB0BD1"/>
    <w:rsid w:val="00BB0C8E"/>
    <w:rsid w:val="00BB0CF4"/>
    <w:rsid w:val="00BB0D3B"/>
    <w:rsid w:val="00BB0D67"/>
    <w:rsid w:val="00BB103F"/>
    <w:rsid w:val="00BB1122"/>
    <w:rsid w:val="00BB11F6"/>
    <w:rsid w:val="00BB1D18"/>
    <w:rsid w:val="00BB1DDC"/>
    <w:rsid w:val="00BB1FEA"/>
    <w:rsid w:val="00BB2088"/>
    <w:rsid w:val="00BB2613"/>
    <w:rsid w:val="00BB28DC"/>
    <w:rsid w:val="00BB2AA4"/>
    <w:rsid w:val="00BB2B7E"/>
    <w:rsid w:val="00BB2BE3"/>
    <w:rsid w:val="00BB2C7A"/>
    <w:rsid w:val="00BB2C7E"/>
    <w:rsid w:val="00BB2C9A"/>
    <w:rsid w:val="00BB2E78"/>
    <w:rsid w:val="00BB2EC6"/>
    <w:rsid w:val="00BB2F2D"/>
    <w:rsid w:val="00BB30E0"/>
    <w:rsid w:val="00BB3275"/>
    <w:rsid w:val="00BB3286"/>
    <w:rsid w:val="00BB330B"/>
    <w:rsid w:val="00BB341F"/>
    <w:rsid w:val="00BB34D7"/>
    <w:rsid w:val="00BB3697"/>
    <w:rsid w:val="00BB3BE3"/>
    <w:rsid w:val="00BB3C22"/>
    <w:rsid w:val="00BB43C3"/>
    <w:rsid w:val="00BB4402"/>
    <w:rsid w:val="00BB4582"/>
    <w:rsid w:val="00BB473A"/>
    <w:rsid w:val="00BB4A7D"/>
    <w:rsid w:val="00BB4CBD"/>
    <w:rsid w:val="00BB4D40"/>
    <w:rsid w:val="00BB4DC3"/>
    <w:rsid w:val="00BB4EB5"/>
    <w:rsid w:val="00BB4F0F"/>
    <w:rsid w:val="00BB5126"/>
    <w:rsid w:val="00BB5362"/>
    <w:rsid w:val="00BB5402"/>
    <w:rsid w:val="00BB5448"/>
    <w:rsid w:val="00BB54B7"/>
    <w:rsid w:val="00BB57CE"/>
    <w:rsid w:val="00BB5959"/>
    <w:rsid w:val="00BB5AF4"/>
    <w:rsid w:val="00BB5F13"/>
    <w:rsid w:val="00BB5F88"/>
    <w:rsid w:val="00BB60F8"/>
    <w:rsid w:val="00BB629C"/>
    <w:rsid w:val="00BB6307"/>
    <w:rsid w:val="00BB6480"/>
    <w:rsid w:val="00BB68F9"/>
    <w:rsid w:val="00BB6922"/>
    <w:rsid w:val="00BB6FE8"/>
    <w:rsid w:val="00BB70FC"/>
    <w:rsid w:val="00BB7243"/>
    <w:rsid w:val="00BB7645"/>
    <w:rsid w:val="00BB7676"/>
    <w:rsid w:val="00BB7A87"/>
    <w:rsid w:val="00BB7E50"/>
    <w:rsid w:val="00BB7ECF"/>
    <w:rsid w:val="00BB7F30"/>
    <w:rsid w:val="00BC008E"/>
    <w:rsid w:val="00BC0109"/>
    <w:rsid w:val="00BC03BF"/>
    <w:rsid w:val="00BC03EE"/>
    <w:rsid w:val="00BC058A"/>
    <w:rsid w:val="00BC0911"/>
    <w:rsid w:val="00BC09EC"/>
    <w:rsid w:val="00BC0A99"/>
    <w:rsid w:val="00BC0D7A"/>
    <w:rsid w:val="00BC13DB"/>
    <w:rsid w:val="00BC142E"/>
    <w:rsid w:val="00BC15D5"/>
    <w:rsid w:val="00BC1716"/>
    <w:rsid w:val="00BC175A"/>
    <w:rsid w:val="00BC1A9F"/>
    <w:rsid w:val="00BC1F25"/>
    <w:rsid w:val="00BC1F5D"/>
    <w:rsid w:val="00BC2015"/>
    <w:rsid w:val="00BC222C"/>
    <w:rsid w:val="00BC23C8"/>
    <w:rsid w:val="00BC2414"/>
    <w:rsid w:val="00BC241B"/>
    <w:rsid w:val="00BC2940"/>
    <w:rsid w:val="00BC2E1F"/>
    <w:rsid w:val="00BC2EF3"/>
    <w:rsid w:val="00BC2FA3"/>
    <w:rsid w:val="00BC3040"/>
    <w:rsid w:val="00BC313A"/>
    <w:rsid w:val="00BC3208"/>
    <w:rsid w:val="00BC32B6"/>
    <w:rsid w:val="00BC338E"/>
    <w:rsid w:val="00BC3481"/>
    <w:rsid w:val="00BC3649"/>
    <w:rsid w:val="00BC3742"/>
    <w:rsid w:val="00BC398B"/>
    <w:rsid w:val="00BC39E1"/>
    <w:rsid w:val="00BC3C7D"/>
    <w:rsid w:val="00BC3D2C"/>
    <w:rsid w:val="00BC3DA3"/>
    <w:rsid w:val="00BC3E03"/>
    <w:rsid w:val="00BC40FD"/>
    <w:rsid w:val="00BC416B"/>
    <w:rsid w:val="00BC43B2"/>
    <w:rsid w:val="00BC43BD"/>
    <w:rsid w:val="00BC44C1"/>
    <w:rsid w:val="00BC45D1"/>
    <w:rsid w:val="00BC46CC"/>
    <w:rsid w:val="00BC487F"/>
    <w:rsid w:val="00BC50B6"/>
    <w:rsid w:val="00BC51B8"/>
    <w:rsid w:val="00BC536F"/>
    <w:rsid w:val="00BC5477"/>
    <w:rsid w:val="00BC54F5"/>
    <w:rsid w:val="00BC55C3"/>
    <w:rsid w:val="00BC56BF"/>
    <w:rsid w:val="00BC56CA"/>
    <w:rsid w:val="00BC5B12"/>
    <w:rsid w:val="00BC5C35"/>
    <w:rsid w:val="00BC5C3F"/>
    <w:rsid w:val="00BC5D5D"/>
    <w:rsid w:val="00BC5FCD"/>
    <w:rsid w:val="00BC5FD9"/>
    <w:rsid w:val="00BC608C"/>
    <w:rsid w:val="00BC6097"/>
    <w:rsid w:val="00BC6377"/>
    <w:rsid w:val="00BC6395"/>
    <w:rsid w:val="00BC6455"/>
    <w:rsid w:val="00BC66C4"/>
    <w:rsid w:val="00BC679B"/>
    <w:rsid w:val="00BC67D7"/>
    <w:rsid w:val="00BC6949"/>
    <w:rsid w:val="00BC6A22"/>
    <w:rsid w:val="00BC6AA8"/>
    <w:rsid w:val="00BC6C7F"/>
    <w:rsid w:val="00BC6DA2"/>
    <w:rsid w:val="00BC7104"/>
    <w:rsid w:val="00BC717A"/>
    <w:rsid w:val="00BC74A9"/>
    <w:rsid w:val="00BC76CA"/>
    <w:rsid w:val="00BC778B"/>
    <w:rsid w:val="00BC7898"/>
    <w:rsid w:val="00BC792C"/>
    <w:rsid w:val="00BC79D0"/>
    <w:rsid w:val="00BC79D2"/>
    <w:rsid w:val="00BC7ABC"/>
    <w:rsid w:val="00BD0042"/>
    <w:rsid w:val="00BD0135"/>
    <w:rsid w:val="00BD069F"/>
    <w:rsid w:val="00BD072B"/>
    <w:rsid w:val="00BD0835"/>
    <w:rsid w:val="00BD0A98"/>
    <w:rsid w:val="00BD0B7D"/>
    <w:rsid w:val="00BD0E72"/>
    <w:rsid w:val="00BD0E9D"/>
    <w:rsid w:val="00BD0EAC"/>
    <w:rsid w:val="00BD108C"/>
    <w:rsid w:val="00BD10D4"/>
    <w:rsid w:val="00BD118F"/>
    <w:rsid w:val="00BD11E8"/>
    <w:rsid w:val="00BD1228"/>
    <w:rsid w:val="00BD1242"/>
    <w:rsid w:val="00BD1663"/>
    <w:rsid w:val="00BD18F0"/>
    <w:rsid w:val="00BD1986"/>
    <w:rsid w:val="00BD19F0"/>
    <w:rsid w:val="00BD1B13"/>
    <w:rsid w:val="00BD1DC6"/>
    <w:rsid w:val="00BD1E82"/>
    <w:rsid w:val="00BD1F98"/>
    <w:rsid w:val="00BD21CD"/>
    <w:rsid w:val="00BD27C4"/>
    <w:rsid w:val="00BD28A8"/>
    <w:rsid w:val="00BD2E47"/>
    <w:rsid w:val="00BD2E78"/>
    <w:rsid w:val="00BD3505"/>
    <w:rsid w:val="00BD38C0"/>
    <w:rsid w:val="00BD39EA"/>
    <w:rsid w:val="00BD3D2D"/>
    <w:rsid w:val="00BD3D35"/>
    <w:rsid w:val="00BD3D63"/>
    <w:rsid w:val="00BD3E9A"/>
    <w:rsid w:val="00BD405A"/>
    <w:rsid w:val="00BD40BE"/>
    <w:rsid w:val="00BD428E"/>
    <w:rsid w:val="00BD496D"/>
    <w:rsid w:val="00BD4BF1"/>
    <w:rsid w:val="00BD4D02"/>
    <w:rsid w:val="00BD4E98"/>
    <w:rsid w:val="00BD4EA6"/>
    <w:rsid w:val="00BD5008"/>
    <w:rsid w:val="00BD5054"/>
    <w:rsid w:val="00BD533E"/>
    <w:rsid w:val="00BD53BC"/>
    <w:rsid w:val="00BD5598"/>
    <w:rsid w:val="00BD5650"/>
    <w:rsid w:val="00BD5731"/>
    <w:rsid w:val="00BD576C"/>
    <w:rsid w:val="00BD57DC"/>
    <w:rsid w:val="00BD5B5E"/>
    <w:rsid w:val="00BD5B9E"/>
    <w:rsid w:val="00BD5C67"/>
    <w:rsid w:val="00BD5D2A"/>
    <w:rsid w:val="00BD5F4F"/>
    <w:rsid w:val="00BD6050"/>
    <w:rsid w:val="00BD6231"/>
    <w:rsid w:val="00BD63A9"/>
    <w:rsid w:val="00BD6C3A"/>
    <w:rsid w:val="00BD6D1B"/>
    <w:rsid w:val="00BD6DC9"/>
    <w:rsid w:val="00BD6F76"/>
    <w:rsid w:val="00BD6FEC"/>
    <w:rsid w:val="00BD70AB"/>
    <w:rsid w:val="00BD740A"/>
    <w:rsid w:val="00BD79DC"/>
    <w:rsid w:val="00BD7A2E"/>
    <w:rsid w:val="00BD7B9F"/>
    <w:rsid w:val="00BD7D8E"/>
    <w:rsid w:val="00BD7DC8"/>
    <w:rsid w:val="00BE0028"/>
    <w:rsid w:val="00BE01A0"/>
    <w:rsid w:val="00BE01F9"/>
    <w:rsid w:val="00BE024C"/>
    <w:rsid w:val="00BE0471"/>
    <w:rsid w:val="00BE04F5"/>
    <w:rsid w:val="00BE0669"/>
    <w:rsid w:val="00BE0841"/>
    <w:rsid w:val="00BE093F"/>
    <w:rsid w:val="00BE0AAE"/>
    <w:rsid w:val="00BE0B29"/>
    <w:rsid w:val="00BE0DA6"/>
    <w:rsid w:val="00BE0F02"/>
    <w:rsid w:val="00BE0F59"/>
    <w:rsid w:val="00BE10B3"/>
    <w:rsid w:val="00BE141C"/>
    <w:rsid w:val="00BE1464"/>
    <w:rsid w:val="00BE14A7"/>
    <w:rsid w:val="00BE14BF"/>
    <w:rsid w:val="00BE1744"/>
    <w:rsid w:val="00BE1A2B"/>
    <w:rsid w:val="00BE1C5B"/>
    <w:rsid w:val="00BE1D76"/>
    <w:rsid w:val="00BE1F79"/>
    <w:rsid w:val="00BE1FEF"/>
    <w:rsid w:val="00BE2053"/>
    <w:rsid w:val="00BE2060"/>
    <w:rsid w:val="00BE20E2"/>
    <w:rsid w:val="00BE2192"/>
    <w:rsid w:val="00BE21A7"/>
    <w:rsid w:val="00BE23DB"/>
    <w:rsid w:val="00BE272A"/>
    <w:rsid w:val="00BE2781"/>
    <w:rsid w:val="00BE282A"/>
    <w:rsid w:val="00BE2FF5"/>
    <w:rsid w:val="00BE3136"/>
    <w:rsid w:val="00BE3247"/>
    <w:rsid w:val="00BE32FD"/>
    <w:rsid w:val="00BE348E"/>
    <w:rsid w:val="00BE34B8"/>
    <w:rsid w:val="00BE34DE"/>
    <w:rsid w:val="00BE354F"/>
    <w:rsid w:val="00BE357B"/>
    <w:rsid w:val="00BE3594"/>
    <w:rsid w:val="00BE3816"/>
    <w:rsid w:val="00BE3841"/>
    <w:rsid w:val="00BE38DD"/>
    <w:rsid w:val="00BE3A3E"/>
    <w:rsid w:val="00BE3B95"/>
    <w:rsid w:val="00BE3C3E"/>
    <w:rsid w:val="00BE3C6B"/>
    <w:rsid w:val="00BE405C"/>
    <w:rsid w:val="00BE4243"/>
    <w:rsid w:val="00BE43A9"/>
    <w:rsid w:val="00BE4576"/>
    <w:rsid w:val="00BE47ED"/>
    <w:rsid w:val="00BE489F"/>
    <w:rsid w:val="00BE49B0"/>
    <w:rsid w:val="00BE4A47"/>
    <w:rsid w:val="00BE4D86"/>
    <w:rsid w:val="00BE4EA7"/>
    <w:rsid w:val="00BE4EBC"/>
    <w:rsid w:val="00BE4EFA"/>
    <w:rsid w:val="00BE51EB"/>
    <w:rsid w:val="00BE527A"/>
    <w:rsid w:val="00BE548B"/>
    <w:rsid w:val="00BE54C5"/>
    <w:rsid w:val="00BE5580"/>
    <w:rsid w:val="00BE56B0"/>
    <w:rsid w:val="00BE5A84"/>
    <w:rsid w:val="00BE5DE8"/>
    <w:rsid w:val="00BE60BA"/>
    <w:rsid w:val="00BE621A"/>
    <w:rsid w:val="00BE6359"/>
    <w:rsid w:val="00BE64B4"/>
    <w:rsid w:val="00BE64B6"/>
    <w:rsid w:val="00BE66D8"/>
    <w:rsid w:val="00BE6768"/>
    <w:rsid w:val="00BE683D"/>
    <w:rsid w:val="00BE688E"/>
    <w:rsid w:val="00BE6915"/>
    <w:rsid w:val="00BE6BCB"/>
    <w:rsid w:val="00BE6C00"/>
    <w:rsid w:val="00BE6CD3"/>
    <w:rsid w:val="00BE716D"/>
    <w:rsid w:val="00BE71DA"/>
    <w:rsid w:val="00BE7393"/>
    <w:rsid w:val="00BE742C"/>
    <w:rsid w:val="00BE79CA"/>
    <w:rsid w:val="00BE7A94"/>
    <w:rsid w:val="00BE7AC4"/>
    <w:rsid w:val="00BE7BE8"/>
    <w:rsid w:val="00BE7DDF"/>
    <w:rsid w:val="00BE7E56"/>
    <w:rsid w:val="00BE7EE3"/>
    <w:rsid w:val="00BE7F63"/>
    <w:rsid w:val="00BE7FAB"/>
    <w:rsid w:val="00BF009A"/>
    <w:rsid w:val="00BF00F2"/>
    <w:rsid w:val="00BF0291"/>
    <w:rsid w:val="00BF048C"/>
    <w:rsid w:val="00BF04BA"/>
    <w:rsid w:val="00BF0732"/>
    <w:rsid w:val="00BF0770"/>
    <w:rsid w:val="00BF0A2A"/>
    <w:rsid w:val="00BF0C8E"/>
    <w:rsid w:val="00BF0CBE"/>
    <w:rsid w:val="00BF0CEE"/>
    <w:rsid w:val="00BF0F5A"/>
    <w:rsid w:val="00BF0FBA"/>
    <w:rsid w:val="00BF12DA"/>
    <w:rsid w:val="00BF1376"/>
    <w:rsid w:val="00BF1396"/>
    <w:rsid w:val="00BF1536"/>
    <w:rsid w:val="00BF15E8"/>
    <w:rsid w:val="00BF16DF"/>
    <w:rsid w:val="00BF176A"/>
    <w:rsid w:val="00BF17ED"/>
    <w:rsid w:val="00BF199D"/>
    <w:rsid w:val="00BF19D2"/>
    <w:rsid w:val="00BF1AB0"/>
    <w:rsid w:val="00BF2136"/>
    <w:rsid w:val="00BF238E"/>
    <w:rsid w:val="00BF23E4"/>
    <w:rsid w:val="00BF2541"/>
    <w:rsid w:val="00BF256B"/>
    <w:rsid w:val="00BF2743"/>
    <w:rsid w:val="00BF2B9F"/>
    <w:rsid w:val="00BF2D6B"/>
    <w:rsid w:val="00BF3396"/>
    <w:rsid w:val="00BF373D"/>
    <w:rsid w:val="00BF37B9"/>
    <w:rsid w:val="00BF3806"/>
    <w:rsid w:val="00BF396E"/>
    <w:rsid w:val="00BF3AB1"/>
    <w:rsid w:val="00BF3ABB"/>
    <w:rsid w:val="00BF3B3A"/>
    <w:rsid w:val="00BF3B88"/>
    <w:rsid w:val="00BF3C14"/>
    <w:rsid w:val="00BF3C31"/>
    <w:rsid w:val="00BF3F85"/>
    <w:rsid w:val="00BF3FE0"/>
    <w:rsid w:val="00BF402C"/>
    <w:rsid w:val="00BF4268"/>
    <w:rsid w:val="00BF428A"/>
    <w:rsid w:val="00BF4291"/>
    <w:rsid w:val="00BF4343"/>
    <w:rsid w:val="00BF4349"/>
    <w:rsid w:val="00BF437D"/>
    <w:rsid w:val="00BF456A"/>
    <w:rsid w:val="00BF4575"/>
    <w:rsid w:val="00BF45AD"/>
    <w:rsid w:val="00BF460F"/>
    <w:rsid w:val="00BF470A"/>
    <w:rsid w:val="00BF4A36"/>
    <w:rsid w:val="00BF4B82"/>
    <w:rsid w:val="00BF4BAF"/>
    <w:rsid w:val="00BF50AC"/>
    <w:rsid w:val="00BF523B"/>
    <w:rsid w:val="00BF529E"/>
    <w:rsid w:val="00BF564D"/>
    <w:rsid w:val="00BF57A0"/>
    <w:rsid w:val="00BF5A5E"/>
    <w:rsid w:val="00BF5AF1"/>
    <w:rsid w:val="00BF5BDD"/>
    <w:rsid w:val="00BF5E3B"/>
    <w:rsid w:val="00BF6084"/>
    <w:rsid w:val="00BF608F"/>
    <w:rsid w:val="00BF617D"/>
    <w:rsid w:val="00BF630E"/>
    <w:rsid w:val="00BF6591"/>
    <w:rsid w:val="00BF6723"/>
    <w:rsid w:val="00BF6AE0"/>
    <w:rsid w:val="00BF6AF7"/>
    <w:rsid w:val="00BF6B4A"/>
    <w:rsid w:val="00BF6E46"/>
    <w:rsid w:val="00BF709A"/>
    <w:rsid w:val="00BF7444"/>
    <w:rsid w:val="00BF75C1"/>
    <w:rsid w:val="00BF7745"/>
    <w:rsid w:val="00BF781A"/>
    <w:rsid w:val="00BF7931"/>
    <w:rsid w:val="00BF7A5F"/>
    <w:rsid w:val="00BF7A62"/>
    <w:rsid w:val="00BF7B6D"/>
    <w:rsid w:val="00C00066"/>
    <w:rsid w:val="00C0021B"/>
    <w:rsid w:val="00C003D5"/>
    <w:rsid w:val="00C004B4"/>
    <w:rsid w:val="00C004EA"/>
    <w:rsid w:val="00C0057E"/>
    <w:rsid w:val="00C006B5"/>
    <w:rsid w:val="00C008E1"/>
    <w:rsid w:val="00C00999"/>
    <w:rsid w:val="00C00ADA"/>
    <w:rsid w:val="00C00B7D"/>
    <w:rsid w:val="00C00B9A"/>
    <w:rsid w:val="00C00BE4"/>
    <w:rsid w:val="00C00D4E"/>
    <w:rsid w:val="00C00E72"/>
    <w:rsid w:val="00C00E94"/>
    <w:rsid w:val="00C00EE1"/>
    <w:rsid w:val="00C0155B"/>
    <w:rsid w:val="00C0173C"/>
    <w:rsid w:val="00C0199F"/>
    <w:rsid w:val="00C019AC"/>
    <w:rsid w:val="00C01AC8"/>
    <w:rsid w:val="00C01C30"/>
    <w:rsid w:val="00C01C38"/>
    <w:rsid w:val="00C01D1E"/>
    <w:rsid w:val="00C01F92"/>
    <w:rsid w:val="00C024D9"/>
    <w:rsid w:val="00C0258D"/>
    <w:rsid w:val="00C026E2"/>
    <w:rsid w:val="00C02789"/>
    <w:rsid w:val="00C028C0"/>
    <w:rsid w:val="00C028D7"/>
    <w:rsid w:val="00C02918"/>
    <w:rsid w:val="00C02BA8"/>
    <w:rsid w:val="00C034F9"/>
    <w:rsid w:val="00C036C9"/>
    <w:rsid w:val="00C0377A"/>
    <w:rsid w:val="00C03883"/>
    <w:rsid w:val="00C039CA"/>
    <w:rsid w:val="00C03C90"/>
    <w:rsid w:val="00C03E17"/>
    <w:rsid w:val="00C03EC6"/>
    <w:rsid w:val="00C03EEE"/>
    <w:rsid w:val="00C0414E"/>
    <w:rsid w:val="00C042E6"/>
    <w:rsid w:val="00C04660"/>
    <w:rsid w:val="00C047F6"/>
    <w:rsid w:val="00C048E0"/>
    <w:rsid w:val="00C04983"/>
    <w:rsid w:val="00C04A17"/>
    <w:rsid w:val="00C04ADB"/>
    <w:rsid w:val="00C04B6D"/>
    <w:rsid w:val="00C04BA6"/>
    <w:rsid w:val="00C04C05"/>
    <w:rsid w:val="00C04D54"/>
    <w:rsid w:val="00C04E55"/>
    <w:rsid w:val="00C0505D"/>
    <w:rsid w:val="00C0509F"/>
    <w:rsid w:val="00C050A3"/>
    <w:rsid w:val="00C050BC"/>
    <w:rsid w:val="00C05108"/>
    <w:rsid w:val="00C05219"/>
    <w:rsid w:val="00C052B2"/>
    <w:rsid w:val="00C05352"/>
    <w:rsid w:val="00C054BC"/>
    <w:rsid w:val="00C05669"/>
    <w:rsid w:val="00C05A21"/>
    <w:rsid w:val="00C05DEB"/>
    <w:rsid w:val="00C05FFF"/>
    <w:rsid w:val="00C06096"/>
    <w:rsid w:val="00C0613B"/>
    <w:rsid w:val="00C06339"/>
    <w:rsid w:val="00C063FE"/>
    <w:rsid w:val="00C06405"/>
    <w:rsid w:val="00C0646C"/>
    <w:rsid w:val="00C065F7"/>
    <w:rsid w:val="00C066A0"/>
    <w:rsid w:val="00C0675D"/>
    <w:rsid w:val="00C06924"/>
    <w:rsid w:val="00C06A4F"/>
    <w:rsid w:val="00C06ABF"/>
    <w:rsid w:val="00C06BD2"/>
    <w:rsid w:val="00C06CDA"/>
    <w:rsid w:val="00C06D61"/>
    <w:rsid w:val="00C06DF0"/>
    <w:rsid w:val="00C06F41"/>
    <w:rsid w:val="00C075D9"/>
    <w:rsid w:val="00C07648"/>
    <w:rsid w:val="00C076B2"/>
    <w:rsid w:val="00C07A8E"/>
    <w:rsid w:val="00C07B2A"/>
    <w:rsid w:val="00C07E94"/>
    <w:rsid w:val="00C07EA8"/>
    <w:rsid w:val="00C1007F"/>
    <w:rsid w:val="00C102B2"/>
    <w:rsid w:val="00C1054E"/>
    <w:rsid w:val="00C1074F"/>
    <w:rsid w:val="00C109AF"/>
    <w:rsid w:val="00C10D44"/>
    <w:rsid w:val="00C10D78"/>
    <w:rsid w:val="00C10E1A"/>
    <w:rsid w:val="00C10E77"/>
    <w:rsid w:val="00C10ECB"/>
    <w:rsid w:val="00C10FC5"/>
    <w:rsid w:val="00C11268"/>
    <w:rsid w:val="00C1138C"/>
    <w:rsid w:val="00C113FC"/>
    <w:rsid w:val="00C11403"/>
    <w:rsid w:val="00C1152D"/>
    <w:rsid w:val="00C11558"/>
    <w:rsid w:val="00C115FC"/>
    <w:rsid w:val="00C11613"/>
    <w:rsid w:val="00C11852"/>
    <w:rsid w:val="00C11866"/>
    <w:rsid w:val="00C1191E"/>
    <w:rsid w:val="00C119D9"/>
    <w:rsid w:val="00C11BBD"/>
    <w:rsid w:val="00C11C38"/>
    <w:rsid w:val="00C11F92"/>
    <w:rsid w:val="00C12084"/>
    <w:rsid w:val="00C12243"/>
    <w:rsid w:val="00C12439"/>
    <w:rsid w:val="00C124FD"/>
    <w:rsid w:val="00C125C8"/>
    <w:rsid w:val="00C12A30"/>
    <w:rsid w:val="00C12BA7"/>
    <w:rsid w:val="00C12BD1"/>
    <w:rsid w:val="00C12BDD"/>
    <w:rsid w:val="00C12D23"/>
    <w:rsid w:val="00C1301E"/>
    <w:rsid w:val="00C1315A"/>
    <w:rsid w:val="00C135A0"/>
    <w:rsid w:val="00C13760"/>
    <w:rsid w:val="00C13B69"/>
    <w:rsid w:val="00C13E00"/>
    <w:rsid w:val="00C140F2"/>
    <w:rsid w:val="00C14103"/>
    <w:rsid w:val="00C14107"/>
    <w:rsid w:val="00C14319"/>
    <w:rsid w:val="00C1434F"/>
    <w:rsid w:val="00C146EC"/>
    <w:rsid w:val="00C147C8"/>
    <w:rsid w:val="00C148A0"/>
    <w:rsid w:val="00C1493C"/>
    <w:rsid w:val="00C1499D"/>
    <w:rsid w:val="00C14A78"/>
    <w:rsid w:val="00C14A86"/>
    <w:rsid w:val="00C14BEE"/>
    <w:rsid w:val="00C14DCF"/>
    <w:rsid w:val="00C14DF9"/>
    <w:rsid w:val="00C14E28"/>
    <w:rsid w:val="00C1528A"/>
    <w:rsid w:val="00C1561F"/>
    <w:rsid w:val="00C15B69"/>
    <w:rsid w:val="00C15BC5"/>
    <w:rsid w:val="00C15E4A"/>
    <w:rsid w:val="00C162A8"/>
    <w:rsid w:val="00C162E8"/>
    <w:rsid w:val="00C16375"/>
    <w:rsid w:val="00C16383"/>
    <w:rsid w:val="00C164C0"/>
    <w:rsid w:val="00C164C4"/>
    <w:rsid w:val="00C1650E"/>
    <w:rsid w:val="00C16514"/>
    <w:rsid w:val="00C166E0"/>
    <w:rsid w:val="00C16757"/>
    <w:rsid w:val="00C167ED"/>
    <w:rsid w:val="00C1683D"/>
    <w:rsid w:val="00C16A4D"/>
    <w:rsid w:val="00C16D03"/>
    <w:rsid w:val="00C16DB4"/>
    <w:rsid w:val="00C17021"/>
    <w:rsid w:val="00C171E0"/>
    <w:rsid w:val="00C17275"/>
    <w:rsid w:val="00C175A4"/>
    <w:rsid w:val="00C176F2"/>
    <w:rsid w:val="00C178D6"/>
    <w:rsid w:val="00C17BE4"/>
    <w:rsid w:val="00C17DF4"/>
    <w:rsid w:val="00C17F27"/>
    <w:rsid w:val="00C2009B"/>
    <w:rsid w:val="00C20125"/>
    <w:rsid w:val="00C20411"/>
    <w:rsid w:val="00C2045F"/>
    <w:rsid w:val="00C206CC"/>
    <w:rsid w:val="00C20962"/>
    <w:rsid w:val="00C20AD1"/>
    <w:rsid w:val="00C20D2D"/>
    <w:rsid w:val="00C2125B"/>
    <w:rsid w:val="00C212CE"/>
    <w:rsid w:val="00C21390"/>
    <w:rsid w:val="00C213FB"/>
    <w:rsid w:val="00C215DE"/>
    <w:rsid w:val="00C21821"/>
    <w:rsid w:val="00C218D4"/>
    <w:rsid w:val="00C219EE"/>
    <w:rsid w:val="00C21C0A"/>
    <w:rsid w:val="00C21CE8"/>
    <w:rsid w:val="00C21E9A"/>
    <w:rsid w:val="00C2211F"/>
    <w:rsid w:val="00C2244C"/>
    <w:rsid w:val="00C22585"/>
    <w:rsid w:val="00C22746"/>
    <w:rsid w:val="00C22786"/>
    <w:rsid w:val="00C228B3"/>
    <w:rsid w:val="00C22B0C"/>
    <w:rsid w:val="00C22B90"/>
    <w:rsid w:val="00C22CFC"/>
    <w:rsid w:val="00C22D42"/>
    <w:rsid w:val="00C22D77"/>
    <w:rsid w:val="00C22DBF"/>
    <w:rsid w:val="00C2324B"/>
    <w:rsid w:val="00C23472"/>
    <w:rsid w:val="00C234F1"/>
    <w:rsid w:val="00C236E8"/>
    <w:rsid w:val="00C23BCF"/>
    <w:rsid w:val="00C23C88"/>
    <w:rsid w:val="00C23F1F"/>
    <w:rsid w:val="00C23F2D"/>
    <w:rsid w:val="00C24305"/>
    <w:rsid w:val="00C2458D"/>
    <w:rsid w:val="00C247F0"/>
    <w:rsid w:val="00C24BE3"/>
    <w:rsid w:val="00C24C7A"/>
    <w:rsid w:val="00C24C88"/>
    <w:rsid w:val="00C24D90"/>
    <w:rsid w:val="00C24DA0"/>
    <w:rsid w:val="00C24FEE"/>
    <w:rsid w:val="00C25123"/>
    <w:rsid w:val="00C2522D"/>
    <w:rsid w:val="00C2564D"/>
    <w:rsid w:val="00C257C0"/>
    <w:rsid w:val="00C257D7"/>
    <w:rsid w:val="00C25812"/>
    <w:rsid w:val="00C2598B"/>
    <w:rsid w:val="00C25A2A"/>
    <w:rsid w:val="00C25C56"/>
    <w:rsid w:val="00C26689"/>
    <w:rsid w:val="00C2673F"/>
    <w:rsid w:val="00C26987"/>
    <w:rsid w:val="00C2699B"/>
    <w:rsid w:val="00C26CA6"/>
    <w:rsid w:val="00C26D3E"/>
    <w:rsid w:val="00C26D6E"/>
    <w:rsid w:val="00C26E4A"/>
    <w:rsid w:val="00C2711A"/>
    <w:rsid w:val="00C2744D"/>
    <w:rsid w:val="00C274B6"/>
    <w:rsid w:val="00C274CB"/>
    <w:rsid w:val="00C277AE"/>
    <w:rsid w:val="00C277CD"/>
    <w:rsid w:val="00C2780D"/>
    <w:rsid w:val="00C2791E"/>
    <w:rsid w:val="00C27994"/>
    <w:rsid w:val="00C279D0"/>
    <w:rsid w:val="00C27DF4"/>
    <w:rsid w:val="00C30149"/>
    <w:rsid w:val="00C301B5"/>
    <w:rsid w:val="00C30313"/>
    <w:rsid w:val="00C307DA"/>
    <w:rsid w:val="00C308F2"/>
    <w:rsid w:val="00C30943"/>
    <w:rsid w:val="00C30A18"/>
    <w:rsid w:val="00C30B69"/>
    <w:rsid w:val="00C30D9D"/>
    <w:rsid w:val="00C30DBE"/>
    <w:rsid w:val="00C30F7A"/>
    <w:rsid w:val="00C3114E"/>
    <w:rsid w:val="00C312C6"/>
    <w:rsid w:val="00C314F0"/>
    <w:rsid w:val="00C3174B"/>
    <w:rsid w:val="00C317AB"/>
    <w:rsid w:val="00C318AE"/>
    <w:rsid w:val="00C31A7C"/>
    <w:rsid w:val="00C31C23"/>
    <w:rsid w:val="00C31D17"/>
    <w:rsid w:val="00C32113"/>
    <w:rsid w:val="00C32319"/>
    <w:rsid w:val="00C325A6"/>
    <w:rsid w:val="00C325B2"/>
    <w:rsid w:val="00C325F2"/>
    <w:rsid w:val="00C326D7"/>
    <w:rsid w:val="00C3289E"/>
    <w:rsid w:val="00C328CD"/>
    <w:rsid w:val="00C329CC"/>
    <w:rsid w:val="00C32C6B"/>
    <w:rsid w:val="00C33218"/>
    <w:rsid w:val="00C33269"/>
    <w:rsid w:val="00C33AA1"/>
    <w:rsid w:val="00C33AE0"/>
    <w:rsid w:val="00C33AE2"/>
    <w:rsid w:val="00C33DE1"/>
    <w:rsid w:val="00C33E46"/>
    <w:rsid w:val="00C33EC6"/>
    <w:rsid w:val="00C33EEA"/>
    <w:rsid w:val="00C33F01"/>
    <w:rsid w:val="00C3434E"/>
    <w:rsid w:val="00C344A9"/>
    <w:rsid w:val="00C347C2"/>
    <w:rsid w:val="00C347E4"/>
    <w:rsid w:val="00C34947"/>
    <w:rsid w:val="00C34DD6"/>
    <w:rsid w:val="00C34E17"/>
    <w:rsid w:val="00C34E58"/>
    <w:rsid w:val="00C34E6C"/>
    <w:rsid w:val="00C34F04"/>
    <w:rsid w:val="00C34FC1"/>
    <w:rsid w:val="00C350F7"/>
    <w:rsid w:val="00C3536B"/>
    <w:rsid w:val="00C353C4"/>
    <w:rsid w:val="00C354C2"/>
    <w:rsid w:val="00C354C9"/>
    <w:rsid w:val="00C35570"/>
    <w:rsid w:val="00C35734"/>
    <w:rsid w:val="00C35801"/>
    <w:rsid w:val="00C35991"/>
    <w:rsid w:val="00C35A88"/>
    <w:rsid w:val="00C35B9B"/>
    <w:rsid w:val="00C35E4A"/>
    <w:rsid w:val="00C361EA"/>
    <w:rsid w:val="00C36238"/>
    <w:rsid w:val="00C362D1"/>
    <w:rsid w:val="00C362EF"/>
    <w:rsid w:val="00C3667B"/>
    <w:rsid w:val="00C3679A"/>
    <w:rsid w:val="00C368AD"/>
    <w:rsid w:val="00C368E1"/>
    <w:rsid w:val="00C36AF9"/>
    <w:rsid w:val="00C36B4F"/>
    <w:rsid w:val="00C36C34"/>
    <w:rsid w:val="00C36C8E"/>
    <w:rsid w:val="00C3713C"/>
    <w:rsid w:val="00C3728E"/>
    <w:rsid w:val="00C3742B"/>
    <w:rsid w:val="00C37679"/>
    <w:rsid w:val="00C37A57"/>
    <w:rsid w:val="00C37B40"/>
    <w:rsid w:val="00C37B6E"/>
    <w:rsid w:val="00C37C3D"/>
    <w:rsid w:val="00C37F25"/>
    <w:rsid w:val="00C40008"/>
    <w:rsid w:val="00C400E8"/>
    <w:rsid w:val="00C403A8"/>
    <w:rsid w:val="00C4079C"/>
    <w:rsid w:val="00C40A45"/>
    <w:rsid w:val="00C40A73"/>
    <w:rsid w:val="00C40B4B"/>
    <w:rsid w:val="00C40D60"/>
    <w:rsid w:val="00C40DCB"/>
    <w:rsid w:val="00C41094"/>
    <w:rsid w:val="00C41479"/>
    <w:rsid w:val="00C4158C"/>
    <w:rsid w:val="00C415E8"/>
    <w:rsid w:val="00C4167F"/>
    <w:rsid w:val="00C41788"/>
    <w:rsid w:val="00C41B35"/>
    <w:rsid w:val="00C41B3E"/>
    <w:rsid w:val="00C422CC"/>
    <w:rsid w:val="00C424E1"/>
    <w:rsid w:val="00C42835"/>
    <w:rsid w:val="00C42A8F"/>
    <w:rsid w:val="00C42ACF"/>
    <w:rsid w:val="00C42AED"/>
    <w:rsid w:val="00C42B59"/>
    <w:rsid w:val="00C42B98"/>
    <w:rsid w:val="00C42E7D"/>
    <w:rsid w:val="00C42F67"/>
    <w:rsid w:val="00C4301B"/>
    <w:rsid w:val="00C43038"/>
    <w:rsid w:val="00C430D8"/>
    <w:rsid w:val="00C43358"/>
    <w:rsid w:val="00C437C7"/>
    <w:rsid w:val="00C43902"/>
    <w:rsid w:val="00C439AB"/>
    <w:rsid w:val="00C43A4E"/>
    <w:rsid w:val="00C43B32"/>
    <w:rsid w:val="00C43C74"/>
    <w:rsid w:val="00C43D53"/>
    <w:rsid w:val="00C43D91"/>
    <w:rsid w:val="00C44001"/>
    <w:rsid w:val="00C44196"/>
    <w:rsid w:val="00C4419C"/>
    <w:rsid w:val="00C44293"/>
    <w:rsid w:val="00C44317"/>
    <w:rsid w:val="00C444AB"/>
    <w:rsid w:val="00C44737"/>
    <w:rsid w:val="00C4476A"/>
    <w:rsid w:val="00C4479A"/>
    <w:rsid w:val="00C44829"/>
    <w:rsid w:val="00C448FF"/>
    <w:rsid w:val="00C4490C"/>
    <w:rsid w:val="00C44D08"/>
    <w:rsid w:val="00C4526D"/>
    <w:rsid w:val="00C454D7"/>
    <w:rsid w:val="00C4575B"/>
    <w:rsid w:val="00C457E7"/>
    <w:rsid w:val="00C459E9"/>
    <w:rsid w:val="00C45A01"/>
    <w:rsid w:val="00C45B7F"/>
    <w:rsid w:val="00C45CD2"/>
    <w:rsid w:val="00C45F83"/>
    <w:rsid w:val="00C460D3"/>
    <w:rsid w:val="00C46386"/>
    <w:rsid w:val="00C463E6"/>
    <w:rsid w:val="00C464EB"/>
    <w:rsid w:val="00C4660B"/>
    <w:rsid w:val="00C4681A"/>
    <w:rsid w:val="00C46847"/>
    <w:rsid w:val="00C469B3"/>
    <w:rsid w:val="00C46A2B"/>
    <w:rsid w:val="00C46F08"/>
    <w:rsid w:val="00C46FC3"/>
    <w:rsid w:val="00C47011"/>
    <w:rsid w:val="00C47242"/>
    <w:rsid w:val="00C47545"/>
    <w:rsid w:val="00C47608"/>
    <w:rsid w:val="00C47676"/>
    <w:rsid w:val="00C4777F"/>
    <w:rsid w:val="00C4782A"/>
    <w:rsid w:val="00C47838"/>
    <w:rsid w:val="00C478B1"/>
    <w:rsid w:val="00C47A47"/>
    <w:rsid w:val="00C47AD3"/>
    <w:rsid w:val="00C47C28"/>
    <w:rsid w:val="00C47D8A"/>
    <w:rsid w:val="00C500E5"/>
    <w:rsid w:val="00C5017D"/>
    <w:rsid w:val="00C50357"/>
    <w:rsid w:val="00C50435"/>
    <w:rsid w:val="00C50542"/>
    <w:rsid w:val="00C506D3"/>
    <w:rsid w:val="00C50786"/>
    <w:rsid w:val="00C508E2"/>
    <w:rsid w:val="00C50909"/>
    <w:rsid w:val="00C509CA"/>
    <w:rsid w:val="00C50AF7"/>
    <w:rsid w:val="00C50B2D"/>
    <w:rsid w:val="00C50BD6"/>
    <w:rsid w:val="00C50D27"/>
    <w:rsid w:val="00C50D67"/>
    <w:rsid w:val="00C50DCA"/>
    <w:rsid w:val="00C50DFF"/>
    <w:rsid w:val="00C50E87"/>
    <w:rsid w:val="00C50F30"/>
    <w:rsid w:val="00C51020"/>
    <w:rsid w:val="00C51292"/>
    <w:rsid w:val="00C512F3"/>
    <w:rsid w:val="00C5132D"/>
    <w:rsid w:val="00C51433"/>
    <w:rsid w:val="00C515EF"/>
    <w:rsid w:val="00C51A5D"/>
    <w:rsid w:val="00C51AF7"/>
    <w:rsid w:val="00C51B3A"/>
    <w:rsid w:val="00C51BD3"/>
    <w:rsid w:val="00C51C8F"/>
    <w:rsid w:val="00C51CDD"/>
    <w:rsid w:val="00C51DE9"/>
    <w:rsid w:val="00C51EC1"/>
    <w:rsid w:val="00C5226E"/>
    <w:rsid w:val="00C52444"/>
    <w:rsid w:val="00C52549"/>
    <w:rsid w:val="00C5296D"/>
    <w:rsid w:val="00C529A9"/>
    <w:rsid w:val="00C529B4"/>
    <w:rsid w:val="00C52A25"/>
    <w:rsid w:val="00C52B94"/>
    <w:rsid w:val="00C52CD5"/>
    <w:rsid w:val="00C52D5B"/>
    <w:rsid w:val="00C52E44"/>
    <w:rsid w:val="00C53451"/>
    <w:rsid w:val="00C53844"/>
    <w:rsid w:val="00C5393B"/>
    <w:rsid w:val="00C53999"/>
    <w:rsid w:val="00C53B9B"/>
    <w:rsid w:val="00C53BD6"/>
    <w:rsid w:val="00C53FC9"/>
    <w:rsid w:val="00C53FFC"/>
    <w:rsid w:val="00C541CF"/>
    <w:rsid w:val="00C542F7"/>
    <w:rsid w:val="00C5446B"/>
    <w:rsid w:val="00C545E8"/>
    <w:rsid w:val="00C54633"/>
    <w:rsid w:val="00C54710"/>
    <w:rsid w:val="00C54990"/>
    <w:rsid w:val="00C54AE0"/>
    <w:rsid w:val="00C54AF2"/>
    <w:rsid w:val="00C54BC0"/>
    <w:rsid w:val="00C5501A"/>
    <w:rsid w:val="00C550EC"/>
    <w:rsid w:val="00C55488"/>
    <w:rsid w:val="00C55527"/>
    <w:rsid w:val="00C558C8"/>
    <w:rsid w:val="00C55BB5"/>
    <w:rsid w:val="00C55F47"/>
    <w:rsid w:val="00C5607B"/>
    <w:rsid w:val="00C5612C"/>
    <w:rsid w:val="00C56404"/>
    <w:rsid w:val="00C56752"/>
    <w:rsid w:val="00C5684E"/>
    <w:rsid w:val="00C56861"/>
    <w:rsid w:val="00C568CC"/>
    <w:rsid w:val="00C571AF"/>
    <w:rsid w:val="00C5723D"/>
    <w:rsid w:val="00C57430"/>
    <w:rsid w:val="00C57494"/>
    <w:rsid w:val="00C5762F"/>
    <w:rsid w:val="00C57828"/>
    <w:rsid w:val="00C5789B"/>
    <w:rsid w:val="00C578A1"/>
    <w:rsid w:val="00C57A16"/>
    <w:rsid w:val="00C57A2F"/>
    <w:rsid w:val="00C57AD2"/>
    <w:rsid w:val="00C57B09"/>
    <w:rsid w:val="00C57B68"/>
    <w:rsid w:val="00C57B96"/>
    <w:rsid w:val="00C57E04"/>
    <w:rsid w:val="00C57E19"/>
    <w:rsid w:val="00C57F44"/>
    <w:rsid w:val="00C57F81"/>
    <w:rsid w:val="00C57FFA"/>
    <w:rsid w:val="00C60013"/>
    <w:rsid w:val="00C607BE"/>
    <w:rsid w:val="00C608CB"/>
    <w:rsid w:val="00C609EC"/>
    <w:rsid w:val="00C60A41"/>
    <w:rsid w:val="00C60F25"/>
    <w:rsid w:val="00C60FCB"/>
    <w:rsid w:val="00C610C3"/>
    <w:rsid w:val="00C6123E"/>
    <w:rsid w:val="00C615DE"/>
    <w:rsid w:val="00C615F1"/>
    <w:rsid w:val="00C61764"/>
    <w:rsid w:val="00C61C28"/>
    <w:rsid w:val="00C61DEE"/>
    <w:rsid w:val="00C61EE9"/>
    <w:rsid w:val="00C61F5B"/>
    <w:rsid w:val="00C62018"/>
    <w:rsid w:val="00C620C6"/>
    <w:rsid w:val="00C620F4"/>
    <w:rsid w:val="00C62280"/>
    <w:rsid w:val="00C6237A"/>
    <w:rsid w:val="00C62439"/>
    <w:rsid w:val="00C6253E"/>
    <w:rsid w:val="00C62660"/>
    <w:rsid w:val="00C6283B"/>
    <w:rsid w:val="00C62920"/>
    <w:rsid w:val="00C629DB"/>
    <w:rsid w:val="00C62C3C"/>
    <w:rsid w:val="00C62E58"/>
    <w:rsid w:val="00C632F3"/>
    <w:rsid w:val="00C633F4"/>
    <w:rsid w:val="00C63A4B"/>
    <w:rsid w:val="00C63AA9"/>
    <w:rsid w:val="00C63C51"/>
    <w:rsid w:val="00C642DF"/>
    <w:rsid w:val="00C6439B"/>
    <w:rsid w:val="00C645EA"/>
    <w:rsid w:val="00C6466C"/>
    <w:rsid w:val="00C64998"/>
    <w:rsid w:val="00C649EF"/>
    <w:rsid w:val="00C64ADD"/>
    <w:rsid w:val="00C64C71"/>
    <w:rsid w:val="00C64DFF"/>
    <w:rsid w:val="00C650EB"/>
    <w:rsid w:val="00C6529A"/>
    <w:rsid w:val="00C65339"/>
    <w:rsid w:val="00C65340"/>
    <w:rsid w:val="00C654EF"/>
    <w:rsid w:val="00C6576A"/>
    <w:rsid w:val="00C657E7"/>
    <w:rsid w:val="00C65875"/>
    <w:rsid w:val="00C659F1"/>
    <w:rsid w:val="00C65FC4"/>
    <w:rsid w:val="00C6622E"/>
    <w:rsid w:val="00C662B5"/>
    <w:rsid w:val="00C66404"/>
    <w:rsid w:val="00C66787"/>
    <w:rsid w:val="00C667C7"/>
    <w:rsid w:val="00C669D4"/>
    <w:rsid w:val="00C66A9C"/>
    <w:rsid w:val="00C66B92"/>
    <w:rsid w:val="00C66C17"/>
    <w:rsid w:val="00C66EE5"/>
    <w:rsid w:val="00C67146"/>
    <w:rsid w:val="00C6729C"/>
    <w:rsid w:val="00C6755D"/>
    <w:rsid w:val="00C675EC"/>
    <w:rsid w:val="00C677E7"/>
    <w:rsid w:val="00C67ADD"/>
    <w:rsid w:val="00C67F28"/>
    <w:rsid w:val="00C7003B"/>
    <w:rsid w:val="00C70089"/>
    <w:rsid w:val="00C702CA"/>
    <w:rsid w:val="00C70409"/>
    <w:rsid w:val="00C70526"/>
    <w:rsid w:val="00C7065A"/>
    <w:rsid w:val="00C70677"/>
    <w:rsid w:val="00C70848"/>
    <w:rsid w:val="00C7092D"/>
    <w:rsid w:val="00C709EF"/>
    <w:rsid w:val="00C70AB0"/>
    <w:rsid w:val="00C70CCC"/>
    <w:rsid w:val="00C70E97"/>
    <w:rsid w:val="00C70F1B"/>
    <w:rsid w:val="00C70F9E"/>
    <w:rsid w:val="00C71229"/>
    <w:rsid w:val="00C7127A"/>
    <w:rsid w:val="00C712ED"/>
    <w:rsid w:val="00C7151D"/>
    <w:rsid w:val="00C716D6"/>
    <w:rsid w:val="00C716E6"/>
    <w:rsid w:val="00C71E1A"/>
    <w:rsid w:val="00C7259A"/>
    <w:rsid w:val="00C72BD0"/>
    <w:rsid w:val="00C72C03"/>
    <w:rsid w:val="00C72DA3"/>
    <w:rsid w:val="00C72EB7"/>
    <w:rsid w:val="00C72FA8"/>
    <w:rsid w:val="00C72FB5"/>
    <w:rsid w:val="00C72FBA"/>
    <w:rsid w:val="00C730AE"/>
    <w:rsid w:val="00C73166"/>
    <w:rsid w:val="00C731B5"/>
    <w:rsid w:val="00C7344C"/>
    <w:rsid w:val="00C734A4"/>
    <w:rsid w:val="00C737A0"/>
    <w:rsid w:val="00C7388D"/>
    <w:rsid w:val="00C738D9"/>
    <w:rsid w:val="00C73AD0"/>
    <w:rsid w:val="00C73E2A"/>
    <w:rsid w:val="00C73E52"/>
    <w:rsid w:val="00C73E79"/>
    <w:rsid w:val="00C73EF0"/>
    <w:rsid w:val="00C74030"/>
    <w:rsid w:val="00C741B4"/>
    <w:rsid w:val="00C741FA"/>
    <w:rsid w:val="00C744A0"/>
    <w:rsid w:val="00C744F0"/>
    <w:rsid w:val="00C74568"/>
    <w:rsid w:val="00C74A1F"/>
    <w:rsid w:val="00C74A2D"/>
    <w:rsid w:val="00C74B21"/>
    <w:rsid w:val="00C74B49"/>
    <w:rsid w:val="00C74C96"/>
    <w:rsid w:val="00C74DF5"/>
    <w:rsid w:val="00C74F1B"/>
    <w:rsid w:val="00C74FC5"/>
    <w:rsid w:val="00C7548E"/>
    <w:rsid w:val="00C75562"/>
    <w:rsid w:val="00C75586"/>
    <w:rsid w:val="00C75879"/>
    <w:rsid w:val="00C759A2"/>
    <w:rsid w:val="00C75B23"/>
    <w:rsid w:val="00C75B5D"/>
    <w:rsid w:val="00C75BB4"/>
    <w:rsid w:val="00C75C6F"/>
    <w:rsid w:val="00C75ECC"/>
    <w:rsid w:val="00C75ED8"/>
    <w:rsid w:val="00C75F71"/>
    <w:rsid w:val="00C7602C"/>
    <w:rsid w:val="00C761FA"/>
    <w:rsid w:val="00C76668"/>
    <w:rsid w:val="00C7694A"/>
    <w:rsid w:val="00C7696D"/>
    <w:rsid w:val="00C769AE"/>
    <w:rsid w:val="00C76B57"/>
    <w:rsid w:val="00C76DD6"/>
    <w:rsid w:val="00C76DF6"/>
    <w:rsid w:val="00C76EAF"/>
    <w:rsid w:val="00C76ED1"/>
    <w:rsid w:val="00C76EFB"/>
    <w:rsid w:val="00C76FB3"/>
    <w:rsid w:val="00C76FE3"/>
    <w:rsid w:val="00C7700A"/>
    <w:rsid w:val="00C77010"/>
    <w:rsid w:val="00C771F4"/>
    <w:rsid w:val="00C772AF"/>
    <w:rsid w:val="00C77602"/>
    <w:rsid w:val="00C77604"/>
    <w:rsid w:val="00C77768"/>
    <w:rsid w:val="00C77CDC"/>
    <w:rsid w:val="00C77E10"/>
    <w:rsid w:val="00C77FA7"/>
    <w:rsid w:val="00C77FFE"/>
    <w:rsid w:val="00C8008B"/>
    <w:rsid w:val="00C80121"/>
    <w:rsid w:val="00C803BF"/>
    <w:rsid w:val="00C803D8"/>
    <w:rsid w:val="00C804F5"/>
    <w:rsid w:val="00C804FC"/>
    <w:rsid w:val="00C80628"/>
    <w:rsid w:val="00C80A1E"/>
    <w:rsid w:val="00C80AAD"/>
    <w:rsid w:val="00C80AFE"/>
    <w:rsid w:val="00C80E64"/>
    <w:rsid w:val="00C80F43"/>
    <w:rsid w:val="00C8114E"/>
    <w:rsid w:val="00C81192"/>
    <w:rsid w:val="00C8138D"/>
    <w:rsid w:val="00C813D9"/>
    <w:rsid w:val="00C8142A"/>
    <w:rsid w:val="00C81553"/>
    <w:rsid w:val="00C815BB"/>
    <w:rsid w:val="00C81778"/>
    <w:rsid w:val="00C81877"/>
    <w:rsid w:val="00C81898"/>
    <w:rsid w:val="00C819A7"/>
    <w:rsid w:val="00C81DC6"/>
    <w:rsid w:val="00C81EE6"/>
    <w:rsid w:val="00C82108"/>
    <w:rsid w:val="00C8237E"/>
    <w:rsid w:val="00C824DC"/>
    <w:rsid w:val="00C825B2"/>
    <w:rsid w:val="00C827F9"/>
    <w:rsid w:val="00C82EC6"/>
    <w:rsid w:val="00C82F60"/>
    <w:rsid w:val="00C831EF"/>
    <w:rsid w:val="00C83284"/>
    <w:rsid w:val="00C83294"/>
    <w:rsid w:val="00C83330"/>
    <w:rsid w:val="00C83436"/>
    <w:rsid w:val="00C83535"/>
    <w:rsid w:val="00C838F0"/>
    <w:rsid w:val="00C83A84"/>
    <w:rsid w:val="00C83CEE"/>
    <w:rsid w:val="00C83DDA"/>
    <w:rsid w:val="00C83E03"/>
    <w:rsid w:val="00C83E8F"/>
    <w:rsid w:val="00C84113"/>
    <w:rsid w:val="00C841AB"/>
    <w:rsid w:val="00C843A0"/>
    <w:rsid w:val="00C8448E"/>
    <w:rsid w:val="00C845C4"/>
    <w:rsid w:val="00C84616"/>
    <w:rsid w:val="00C84904"/>
    <w:rsid w:val="00C84A64"/>
    <w:rsid w:val="00C8523D"/>
    <w:rsid w:val="00C8536D"/>
    <w:rsid w:val="00C8549F"/>
    <w:rsid w:val="00C857AB"/>
    <w:rsid w:val="00C857E5"/>
    <w:rsid w:val="00C85C79"/>
    <w:rsid w:val="00C85DC0"/>
    <w:rsid w:val="00C85E59"/>
    <w:rsid w:val="00C86097"/>
    <w:rsid w:val="00C860D7"/>
    <w:rsid w:val="00C8613A"/>
    <w:rsid w:val="00C862FD"/>
    <w:rsid w:val="00C86340"/>
    <w:rsid w:val="00C866C1"/>
    <w:rsid w:val="00C86B53"/>
    <w:rsid w:val="00C86BC3"/>
    <w:rsid w:val="00C86C11"/>
    <w:rsid w:val="00C86C83"/>
    <w:rsid w:val="00C86D3E"/>
    <w:rsid w:val="00C86DC4"/>
    <w:rsid w:val="00C87082"/>
    <w:rsid w:val="00C870FE"/>
    <w:rsid w:val="00C8757B"/>
    <w:rsid w:val="00C8792A"/>
    <w:rsid w:val="00C87A3C"/>
    <w:rsid w:val="00C87B2D"/>
    <w:rsid w:val="00C87F93"/>
    <w:rsid w:val="00C900BD"/>
    <w:rsid w:val="00C902F6"/>
    <w:rsid w:val="00C903D1"/>
    <w:rsid w:val="00C90528"/>
    <w:rsid w:val="00C905DA"/>
    <w:rsid w:val="00C905E5"/>
    <w:rsid w:val="00C90748"/>
    <w:rsid w:val="00C9076B"/>
    <w:rsid w:val="00C908B9"/>
    <w:rsid w:val="00C90AE5"/>
    <w:rsid w:val="00C90DFB"/>
    <w:rsid w:val="00C9111C"/>
    <w:rsid w:val="00C9127E"/>
    <w:rsid w:val="00C916D8"/>
    <w:rsid w:val="00C916DB"/>
    <w:rsid w:val="00C91835"/>
    <w:rsid w:val="00C918E9"/>
    <w:rsid w:val="00C91939"/>
    <w:rsid w:val="00C91A52"/>
    <w:rsid w:val="00C91A58"/>
    <w:rsid w:val="00C91B1A"/>
    <w:rsid w:val="00C91FA6"/>
    <w:rsid w:val="00C92425"/>
    <w:rsid w:val="00C9244A"/>
    <w:rsid w:val="00C9258E"/>
    <w:rsid w:val="00C9273D"/>
    <w:rsid w:val="00C928B0"/>
    <w:rsid w:val="00C92AF6"/>
    <w:rsid w:val="00C92B4C"/>
    <w:rsid w:val="00C92DAB"/>
    <w:rsid w:val="00C92E2F"/>
    <w:rsid w:val="00C92F9B"/>
    <w:rsid w:val="00C930AB"/>
    <w:rsid w:val="00C93380"/>
    <w:rsid w:val="00C9347B"/>
    <w:rsid w:val="00C9354D"/>
    <w:rsid w:val="00C93600"/>
    <w:rsid w:val="00C93627"/>
    <w:rsid w:val="00C9369A"/>
    <w:rsid w:val="00C939E1"/>
    <w:rsid w:val="00C93A04"/>
    <w:rsid w:val="00C93B1B"/>
    <w:rsid w:val="00C93C05"/>
    <w:rsid w:val="00C93DD1"/>
    <w:rsid w:val="00C9406F"/>
    <w:rsid w:val="00C9446A"/>
    <w:rsid w:val="00C944E7"/>
    <w:rsid w:val="00C946D0"/>
    <w:rsid w:val="00C948DA"/>
    <w:rsid w:val="00C949D6"/>
    <w:rsid w:val="00C949FB"/>
    <w:rsid w:val="00C94CA3"/>
    <w:rsid w:val="00C94DA3"/>
    <w:rsid w:val="00C94F7B"/>
    <w:rsid w:val="00C95260"/>
    <w:rsid w:val="00C95481"/>
    <w:rsid w:val="00C95488"/>
    <w:rsid w:val="00C95554"/>
    <w:rsid w:val="00C9556C"/>
    <w:rsid w:val="00C95618"/>
    <w:rsid w:val="00C9567E"/>
    <w:rsid w:val="00C95732"/>
    <w:rsid w:val="00C9576C"/>
    <w:rsid w:val="00C95870"/>
    <w:rsid w:val="00C959C2"/>
    <w:rsid w:val="00C95B29"/>
    <w:rsid w:val="00C95BAC"/>
    <w:rsid w:val="00C95BAD"/>
    <w:rsid w:val="00C95F5E"/>
    <w:rsid w:val="00C95F95"/>
    <w:rsid w:val="00C960FC"/>
    <w:rsid w:val="00C96397"/>
    <w:rsid w:val="00C9693F"/>
    <w:rsid w:val="00C96B02"/>
    <w:rsid w:val="00C96B61"/>
    <w:rsid w:val="00C96D08"/>
    <w:rsid w:val="00C96FFC"/>
    <w:rsid w:val="00C971BC"/>
    <w:rsid w:val="00C972A7"/>
    <w:rsid w:val="00C97529"/>
    <w:rsid w:val="00C97602"/>
    <w:rsid w:val="00C979CD"/>
    <w:rsid w:val="00C97AE5"/>
    <w:rsid w:val="00C97B1B"/>
    <w:rsid w:val="00C97C46"/>
    <w:rsid w:val="00C97CD5"/>
    <w:rsid w:val="00C97DD8"/>
    <w:rsid w:val="00C97E24"/>
    <w:rsid w:val="00C97EC8"/>
    <w:rsid w:val="00C97ED9"/>
    <w:rsid w:val="00C97EFE"/>
    <w:rsid w:val="00CA00C8"/>
    <w:rsid w:val="00CA0455"/>
    <w:rsid w:val="00CA04D2"/>
    <w:rsid w:val="00CA06B2"/>
    <w:rsid w:val="00CA0DC4"/>
    <w:rsid w:val="00CA0DC9"/>
    <w:rsid w:val="00CA10A9"/>
    <w:rsid w:val="00CA18DC"/>
    <w:rsid w:val="00CA1943"/>
    <w:rsid w:val="00CA19F6"/>
    <w:rsid w:val="00CA1AF0"/>
    <w:rsid w:val="00CA1E91"/>
    <w:rsid w:val="00CA1F47"/>
    <w:rsid w:val="00CA1FF6"/>
    <w:rsid w:val="00CA23B4"/>
    <w:rsid w:val="00CA23E2"/>
    <w:rsid w:val="00CA2731"/>
    <w:rsid w:val="00CA2919"/>
    <w:rsid w:val="00CA29C9"/>
    <w:rsid w:val="00CA2A05"/>
    <w:rsid w:val="00CA2A0F"/>
    <w:rsid w:val="00CA2A58"/>
    <w:rsid w:val="00CA2C71"/>
    <w:rsid w:val="00CA302D"/>
    <w:rsid w:val="00CA333E"/>
    <w:rsid w:val="00CA3608"/>
    <w:rsid w:val="00CA37C2"/>
    <w:rsid w:val="00CA3842"/>
    <w:rsid w:val="00CA39DF"/>
    <w:rsid w:val="00CA3A1B"/>
    <w:rsid w:val="00CA3D49"/>
    <w:rsid w:val="00CA3E55"/>
    <w:rsid w:val="00CA3F2D"/>
    <w:rsid w:val="00CA3F70"/>
    <w:rsid w:val="00CA3FD7"/>
    <w:rsid w:val="00CA4189"/>
    <w:rsid w:val="00CA42C9"/>
    <w:rsid w:val="00CA4476"/>
    <w:rsid w:val="00CA45F5"/>
    <w:rsid w:val="00CA4652"/>
    <w:rsid w:val="00CA4810"/>
    <w:rsid w:val="00CA483D"/>
    <w:rsid w:val="00CA49C9"/>
    <w:rsid w:val="00CA4AC6"/>
    <w:rsid w:val="00CA4C44"/>
    <w:rsid w:val="00CA4D34"/>
    <w:rsid w:val="00CA4DDC"/>
    <w:rsid w:val="00CA4E6E"/>
    <w:rsid w:val="00CA4EC1"/>
    <w:rsid w:val="00CA5150"/>
    <w:rsid w:val="00CA529B"/>
    <w:rsid w:val="00CA56C8"/>
    <w:rsid w:val="00CA5776"/>
    <w:rsid w:val="00CA5880"/>
    <w:rsid w:val="00CA5882"/>
    <w:rsid w:val="00CA5AED"/>
    <w:rsid w:val="00CA5C55"/>
    <w:rsid w:val="00CA5CFC"/>
    <w:rsid w:val="00CA5D7A"/>
    <w:rsid w:val="00CA5DA1"/>
    <w:rsid w:val="00CA5E0C"/>
    <w:rsid w:val="00CA5FB7"/>
    <w:rsid w:val="00CA6045"/>
    <w:rsid w:val="00CA61AD"/>
    <w:rsid w:val="00CA626B"/>
    <w:rsid w:val="00CA62A3"/>
    <w:rsid w:val="00CA635D"/>
    <w:rsid w:val="00CA6539"/>
    <w:rsid w:val="00CA6728"/>
    <w:rsid w:val="00CA6797"/>
    <w:rsid w:val="00CA6900"/>
    <w:rsid w:val="00CA69FB"/>
    <w:rsid w:val="00CA6AD7"/>
    <w:rsid w:val="00CA6BA1"/>
    <w:rsid w:val="00CA6C2B"/>
    <w:rsid w:val="00CA6C5C"/>
    <w:rsid w:val="00CA6DC0"/>
    <w:rsid w:val="00CA706A"/>
    <w:rsid w:val="00CA74C2"/>
    <w:rsid w:val="00CA7520"/>
    <w:rsid w:val="00CA764F"/>
    <w:rsid w:val="00CA765E"/>
    <w:rsid w:val="00CA76D0"/>
    <w:rsid w:val="00CA77F9"/>
    <w:rsid w:val="00CA7865"/>
    <w:rsid w:val="00CA7928"/>
    <w:rsid w:val="00CA7BA2"/>
    <w:rsid w:val="00CA7C19"/>
    <w:rsid w:val="00CA7C4D"/>
    <w:rsid w:val="00CA7E9F"/>
    <w:rsid w:val="00CB03ED"/>
    <w:rsid w:val="00CB0492"/>
    <w:rsid w:val="00CB06F0"/>
    <w:rsid w:val="00CB08A4"/>
    <w:rsid w:val="00CB0B12"/>
    <w:rsid w:val="00CB0C94"/>
    <w:rsid w:val="00CB0E87"/>
    <w:rsid w:val="00CB0F6A"/>
    <w:rsid w:val="00CB0FBB"/>
    <w:rsid w:val="00CB10BD"/>
    <w:rsid w:val="00CB13B3"/>
    <w:rsid w:val="00CB13E2"/>
    <w:rsid w:val="00CB158E"/>
    <w:rsid w:val="00CB1630"/>
    <w:rsid w:val="00CB1AF2"/>
    <w:rsid w:val="00CB2073"/>
    <w:rsid w:val="00CB20F3"/>
    <w:rsid w:val="00CB213A"/>
    <w:rsid w:val="00CB21EC"/>
    <w:rsid w:val="00CB24C1"/>
    <w:rsid w:val="00CB2513"/>
    <w:rsid w:val="00CB25D5"/>
    <w:rsid w:val="00CB2652"/>
    <w:rsid w:val="00CB278E"/>
    <w:rsid w:val="00CB29C0"/>
    <w:rsid w:val="00CB2BE5"/>
    <w:rsid w:val="00CB2C5A"/>
    <w:rsid w:val="00CB2CCA"/>
    <w:rsid w:val="00CB2DE5"/>
    <w:rsid w:val="00CB2EED"/>
    <w:rsid w:val="00CB3062"/>
    <w:rsid w:val="00CB33E2"/>
    <w:rsid w:val="00CB346C"/>
    <w:rsid w:val="00CB3828"/>
    <w:rsid w:val="00CB38B8"/>
    <w:rsid w:val="00CB3A69"/>
    <w:rsid w:val="00CB3C81"/>
    <w:rsid w:val="00CB3C86"/>
    <w:rsid w:val="00CB3D1D"/>
    <w:rsid w:val="00CB3EDE"/>
    <w:rsid w:val="00CB42B5"/>
    <w:rsid w:val="00CB42CD"/>
    <w:rsid w:val="00CB437E"/>
    <w:rsid w:val="00CB484C"/>
    <w:rsid w:val="00CB4C00"/>
    <w:rsid w:val="00CB51F2"/>
    <w:rsid w:val="00CB52ED"/>
    <w:rsid w:val="00CB53E3"/>
    <w:rsid w:val="00CB54D0"/>
    <w:rsid w:val="00CB5500"/>
    <w:rsid w:val="00CB5746"/>
    <w:rsid w:val="00CB576D"/>
    <w:rsid w:val="00CB57D6"/>
    <w:rsid w:val="00CB57FD"/>
    <w:rsid w:val="00CB58E4"/>
    <w:rsid w:val="00CB59E8"/>
    <w:rsid w:val="00CB5DED"/>
    <w:rsid w:val="00CB5E75"/>
    <w:rsid w:val="00CB626E"/>
    <w:rsid w:val="00CB63B2"/>
    <w:rsid w:val="00CB6539"/>
    <w:rsid w:val="00CB6626"/>
    <w:rsid w:val="00CB680B"/>
    <w:rsid w:val="00CB6875"/>
    <w:rsid w:val="00CB69D8"/>
    <w:rsid w:val="00CB6B1A"/>
    <w:rsid w:val="00CB6B3B"/>
    <w:rsid w:val="00CB6C02"/>
    <w:rsid w:val="00CB6DDE"/>
    <w:rsid w:val="00CB6E48"/>
    <w:rsid w:val="00CB6E55"/>
    <w:rsid w:val="00CB7087"/>
    <w:rsid w:val="00CB730B"/>
    <w:rsid w:val="00CB73E7"/>
    <w:rsid w:val="00CB75FE"/>
    <w:rsid w:val="00CB7611"/>
    <w:rsid w:val="00CB7713"/>
    <w:rsid w:val="00CB7858"/>
    <w:rsid w:val="00CB78B0"/>
    <w:rsid w:val="00CB78F4"/>
    <w:rsid w:val="00CB7A4F"/>
    <w:rsid w:val="00CB7BB7"/>
    <w:rsid w:val="00CB7F90"/>
    <w:rsid w:val="00CC0004"/>
    <w:rsid w:val="00CC00E2"/>
    <w:rsid w:val="00CC019D"/>
    <w:rsid w:val="00CC01D7"/>
    <w:rsid w:val="00CC03EE"/>
    <w:rsid w:val="00CC063B"/>
    <w:rsid w:val="00CC0760"/>
    <w:rsid w:val="00CC0D55"/>
    <w:rsid w:val="00CC0E99"/>
    <w:rsid w:val="00CC0E9F"/>
    <w:rsid w:val="00CC0EC9"/>
    <w:rsid w:val="00CC0FED"/>
    <w:rsid w:val="00CC1018"/>
    <w:rsid w:val="00CC1102"/>
    <w:rsid w:val="00CC121F"/>
    <w:rsid w:val="00CC14B0"/>
    <w:rsid w:val="00CC17A7"/>
    <w:rsid w:val="00CC190D"/>
    <w:rsid w:val="00CC1ACE"/>
    <w:rsid w:val="00CC1E24"/>
    <w:rsid w:val="00CC1F3B"/>
    <w:rsid w:val="00CC20E6"/>
    <w:rsid w:val="00CC2417"/>
    <w:rsid w:val="00CC25EA"/>
    <w:rsid w:val="00CC278C"/>
    <w:rsid w:val="00CC2A37"/>
    <w:rsid w:val="00CC2B81"/>
    <w:rsid w:val="00CC2EBE"/>
    <w:rsid w:val="00CC30BF"/>
    <w:rsid w:val="00CC31BC"/>
    <w:rsid w:val="00CC386F"/>
    <w:rsid w:val="00CC387B"/>
    <w:rsid w:val="00CC3C11"/>
    <w:rsid w:val="00CC3D14"/>
    <w:rsid w:val="00CC4033"/>
    <w:rsid w:val="00CC42D8"/>
    <w:rsid w:val="00CC437A"/>
    <w:rsid w:val="00CC43E9"/>
    <w:rsid w:val="00CC4555"/>
    <w:rsid w:val="00CC481F"/>
    <w:rsid w:val="00CC4C7C"/>
    <w:rsid w:val="00CC4E72"/>
    <w:rsid w:val="00CC5239"/>
    <w:rsid w:val="00CC5428"/>
    <w:rsid w:val="00CC54EF"/>
    <w:rsid w:val="00CC55FB"/>
    <w:rsid w:val="00CC56FB"/>
    <w:rsid w:val="00CC59DF"/>
    <w:rsid w:val="00CC5AB4"/>
    <w:rsid w:val="00CC5B83"/>
    <w:rsid w:val="00CC5C80"/>
    <w:rsid w:val="00CC5C8D"/>
    <w:rsid w:val="00CC5E2A"/>
    <w:rsid w:val="00CC5FF9"/>
    <w:rsid w:val="00CC60A0"/>
    <w:rsid w:val="00CC61CF"/>
    <w:rsid w:val="00CC64D4"/>
    <w:rsid w:val="00CC6667"/>
    <w:rsid w:val="00CC6694"/>
    <w:rsid w:val="00CC66BC"/>
    <w:rsid w:val="00CC6717"/>
    <w:rsid w:val="00CC6753"/>
    <w:rsid w:val="00CC681A"/>
    <w:rsid w:val="00CC6CB5"/>
    <w:rsid w:val="00CC6D6D"/>
    <w:rsid w:val="00CC6FA8"/>
    <w:rsid w:val="00CC7143"/>
    <w:rsid w:val="00CC7337"/>
    <w:rsid w:val="00CC7543"/>
    <w:rsid w:val="00CC75FC"/>
    <w:rsid w:val="00CC762E"/>
    <w:rsid w:val="00CC7872"/>
    <w:rsid w:val="00CC7A8B"/>
    <w:rsid w:val="00CC7BE2"/>
    <w:rsid w:val="00CC7C81"/>
    <w:rsid w:val="00CC7D08"/>
    <w:rsid w:val="00CC7D42"/>
    <w:rsid w:val="00CC7DF5"/>
    <w:rsid w:val="00CC7F1A"/>
    <w:rsid w:val="00CD0066"/>
    <w:rsid w:val="00CD0370"/>
    <w:rsid w:val="00CD04D9"/>
    <w:rsid w:val="00CD0586"/>
    <w:rsid w:val="00CD075D"/>
    <w:rsid w:val="00CD08AC"/>
    <w:rsid w:val="00CD0A6A"/>
    <w:rsid w:val="00CD0E14"/>
    <w:rsid w:val="00CD0F5E"/>
    <w:rsid w:val="00CD0F90"/>
    <w:rsid w:val="00CD1003"/>
    <w:rsid w:val="00CD10A7"/>
    <w:rsid w:val="00CD117B"/>
    <w:rsid w:val="00CD1213"/>
    <w:rsid w:val="00CD15B0"/>
    <w:rsid w:val="00CD1974"/>
    <w:rsid w:val="00CD1AC9"/>
    <w:rsid w:val="00CD2004"/>
    <w:rsid w:val="00CD2084"/>
    <w:rsid w:val="00CD209C"/>
    <w:rsid w:val="00CD2597"/>
    <w:rsid w:val="00CD2731"/>
    <w:rsid w:val="00CD28D5"/>
    <w:rsid w:val="00CD2D8B"/>
    <w:rsid w:val="00CD2E4B"/>
    <w:rsid w:val="00CD302C"/>
    <w:rsid w:val="00CD30D2"/>
    <w:rsid w:val="00CD3374"/>
    <w:rsid w:val="00CD347E"/>
    <w:rsid w:val="00CD349D"/>
    <w:rsid w:val="00CD356C"/>
    <w:rsid w:val="00CD364D"/>
    <w:rsid w:val="00CD39C4"/>
    <w:rsid w:val="00CD39DE"/>
    <w:rsid w:val="00CD3D1F"/>
    <w:rsid w:val="00CD3DCA"/>
    <w:rsid w:val="00CD3F80"/>
    <w:rsid w:val="00CD410C"/>
    <w:rsid w:val="00CD4186"/>
    <w:rsid w:val="00CD4478"/>
    <w:rsid w:val="00CD44DE"/>
    <w:rsid w:val="00CD450A"/>
    <w:rsid w:val="00CD4528"/>
    <w:rsid w:val="00CD45B5"/>
    <w:rsid w:val="00CD4653"/>
    <w:rsid w:val="00CD480B"/>
    <w:rsid w:val="00CD4B5E"/>
    <w:rsid w:val="00CD4CCA"/>
    <w:rsid w:val="00CD4F1C"/>
    <w:rsid w:val="00CD4FB2"/>
    <w:rsid w:val="00CD50D8"/>
    <w:rsid w:val="00CD50FE"/>
    <w:rsid w:val="00CD5148"/>
    <w:rsid w:val="00CD5282"/>
    <w:rsid w:val="00CD52E8"/>
    <w:rsid w:val="00CD5302"/>
    <w:rsid w:val="00CD54DB"/>
    <w:rsid w:val="00CD557B"/>
    <w:rsid w:val="00CD5697"/>
    <w:rsid w:val="00CD56AC"/>
    <w:rsid w:val="00CD5830"/>
    <w:rsid w:val="00CD5B4C"/>
    <w:rsid w:val="00CD5BCB"/>
    <w:rsid w:val="00CD5C93"/>
    <w:rsid w:val="00CD5D49"/>
    <w:rsid w:val="00CD6013"/>
    <w:rsid w:val="00CD60AA"/>
    <w:rsid w:val="00CD61B7"/>
    <w:rsid w:val="00CD62EA"/>
    <w:rsid w:val="00CD65F5"/>
    <w:rsid w:val="00CD6878"/>
    <w:rsid w:val="00CD7186"/>
    <w:rsid w:val="00CD7545"/>
    <w:rsid w:val="00CD75E7"/>
    <w:rsid w:val="00CD767D"/>
    <w:rsid w:val="00CD7698"/>
    <w:rsid w:val="00CD77B6"/>
    <w:rsid w:val="00CD780B"/>
    <w:rsid w:val="00CD786E"/>
    <w:rsid w:val="00CD7A26"/>
    <w:rsid w:val="00CD7BCE"/>
    <w:rsid w:val="00CD7D79"/>
    <w:rsid w:val="00CD7DC6"/>
    <w:rsid w:val="00CE0102"/>
    <w:rsid w:val="00CE022B"/>
    <w:rsid w:val="00CE0231"/>
    <w:rsid w:val="00CE0523"/>
    <w:rsid w:val="00CE05AB"/>
    <w:rsid w:val="00CE069E"/>
    <w:rsid w:val="00CE06B8"/>
    <w:rsid w:val="00CE0994"/>
    <w:rsid w:val="00CE09C0"/>
    <w:rsid w:val="00CE09CC"/>
    <w:rsid w:val="00CE09F7"/>
    <w:rsid w:val="00CE1001"/>
    <w:rsid w:val="00CE108B"/>
    <w:rsid w:val="00CE1684"/>
    <w:rsid w:val="00CE1688"/>
    <w:rsid w:val="00CE169C"/>
    <w:rsid w:val="00CE19F8"/>
    <w:rsid w:val="00CE1A7D"/>
    <w:rsid w:val="00CE1C1F"/>
    <w:rsid w:val="00CE1CD3"/>
    <w:rsid w:val="00CE1D39"/>
    <w:rsid w:val="00CE1F33"/>
    <w:rsid w:val="00CE23D4"/>
    <w:rsid w:val="00CE247D"/>
    <w:rsid w:val="00CE24D8"/>
    <w:rsid w:val="00CE25B3"/>
    <w:rsid w:val="00CE29DD"/>
    <w:rsid w:val="00CE2A1E"/>
    <w:rsid w:val="00CE2CE1"/>
    <w:rsid w:val="00CE2CEF"/>
    <w:rsid w:val="00CE2DDA"/>
    <w:rsid w:val="00CE2EC2"/>
    <w:rsid w:val="00CE2EE6"/>
    <w:rsid w:val="00CE30A7"/>
    <w:rsid w:val="00CE30C7"/>
    <w:rsid w:val="00CE315C"/>
    <w:rsid w:val="00CE3357"/>
    <w:rsid w:val="00CE3376"/>
    <w:rsid w:val="00CE338E"/>
    <w:rsid w:val="00CE37FF"/>
    <w:rsid w:val="00CE382B"/>
    <w:rsid w:val="00CE397A"/>
    <w:rsid w:val="00CE3A9D"/>
    <w:rsid w:val="00CE40C7"/>
    <w:rsid w:val="00CE41AF"/>
    <w:rsid w:val="00CE435C"/>
    <w:rsid w:val="00CE4731"/>
    <w:rsid w:val="00CE47E6"/>
    <w:rsid w:val="00CE4808"/>
    <w:rsid w:val="00CE4B41"/>
    <w:rsid w:val="00CE4D93"/>
    <w:rsid w:val="00CE4E05"/>
    <w:rsid w:val="00CE4E44"/>
    <w:rsid w:val="00CE4F15"/>
    <w:rsid w:val="00CE505F"/>
    <w:rsid w:val="00CE5153"/>
    <w:rsid w:val="00CE573C"/>
    <w:rsid w:val="00CE5B3D"/>
    <w:rsid w:val="00CE5F9C"/>
    <w:rsid w:val="00CE6081"/>
    <w:rsid w:val="00CE61DA"/>
    <w:rsid w:val="00CE61FF"/>
    <w:rsid w:val="00CE651C"/>
    <w:rsid w:val="00CE6559"/>
    <w:rsid w:val="00CE6700"/>
    <w:rsid w:val="00CE6924"/>
    <w:rsid w:val="00CE698F"/>
    <w:rsid w:val="00CE6B2D"/>
    <w:rsid w:val="00CE6B54"/>
    <w:rsid w:val="00CE6BA0"/>
    <w:rsid w:val="00CE6BA6"/>
    <w:rsid w:val="00CE6DC0"/>
    <w:rsid w:val="00CE6EAA"/>
    <w:rsid w:val="00CE7066"/>
    <w:rsid w:val="00CE7293"/>
    <w:rsid w:val="00CE73D2"/>
    <w:rsid w:val="00CE746D"/>
    <w:rsid w:val="00CE751A"/>
    <w:rsid w:val="00CE764C"/>
    <w:rsid w:val="00CE7651"/>
    <w:rsid w:val="00CE77A8"/>
    <w:rsid w:val="00CE7841"/>
    <w:rsid w:val="00CE78A4"/>
    <w:rsid w:val="00CE7A01"/>
    <w:rsid w:val="00CE7B3B"/>
    <w:rsid w:val="00CE7BDC"/>
    <w:rsid w:val="00CE7DBD"/>
    <w:rsid w:val="00CE7E8E"/>
    <w:rsid w:val="00CF0153"/>
    <w:rsid w:val="00CF053C"/>
    <w:rsid w:val="00CF0765"/>
    <w:rsid w:val="00CF0802"/>
    <w:rsid w:val="00CF0927"/>
    <w:rsid w:val="00CF09D7"/>
    <w:rsid w:val="00CF0C1B"/>
    <w:rsid w:val="00CF0DBF"/>
    <w:rsid w:val="00CF0E76"/>
    <w:rsid w:val="00CF0EC3"/>
    <w:rsid w:val="00CF0FAD"/>
    <w:rsid w:val="00CF108C"/>
    <w:rsid w:val="00CF1143"/>
    <w:rsid w:val="00CF116A"/>
    <w:rsid w:val="00CF1526"/>
    <w:rsid w:val="00CF174C"/>
    <w:rsid w:val="00CF17B8"/>
    <w:rsid w:val="00CF17C6"/>
    <w:rsid w:val="00CF17FA"/>
    <w:rsid w:val="00CF1A04"/>
    <w:rsid w:val="00CF1C40"/>
    <w:rsid w:val="00CF1CAE"/>
    <w:rsid w:val="00CF2158"/>
    <w:rsid w:val="00CF2473"/>
    <w:rsid w:val="00CF253C"/>
    <w:rsid w:val="00CF278E"/>
    <w:rsid w:val="00CF29E6"/>
    <w:rsid w:val="00CF2A82"/>
    <w:rsid w:val="00CF2A85"/>
    <w:rsid w:val="00CF2D65"/>
    <w:rsid w:val="00CF33EA"/>
    <w:rsid w:val="00CF3447"/>
    <w:rsid w:val="00CF35A9"/>
    <w:rsid w:val="00CF3767"/>
    <w:rsid w:val="00CF383E"/>
    <w:rsid w:val="00CF387B"/>
    <w:rsid w:val="00CF3CD1"/>
    <w:rsid w:val="00CF3EF9"/>
    <w:rsid w:val="00CF3F1C"/>
    <w:rsid w:val="00CF446C"/>
    <w:rsid w:val="00CF45A9"/>
    <w:rsid w:val="00CF46DF"/>
    <w:rsid w:val="00CF4800"/>
    <w:rsid w:val="00CF480D"/>
    <w:rsid w:val="00CF49A6"/>
    <w:rsid w:val="00CF4C1D"/>
    <w:rsid w:val="00CF4C49"/>
    <w:rsid w:val="00CF4F29"/>
    <w:rsid w:val="00CF5071"/>
    <w:rsid w:val="00CF5124"/>
    <w:rsid w:val="00CF517F"/>
    <w:rsid w:val="00CF51AA"/>
    <w:rsid w:val="00CF51CE"/>
    <w:rsid w:val="00CF5278"/>
    <w:rsid w:val="00CF5534"/>
    <w:rsid w:val="00CF557F"/>
    <w:rsid w:val="00CF5581"/>
    <w:rsid w:val="00CF55D7"/>
    <w:rsid w:val="00CF58F6"/>
    <w:rsid w:val="00CF5A22"/>
    <w:rsid w:val="00CF5AD2"/>
    <w:rsid w:val="00CF5D5F"/>
    <w:rsid w:val="00CF5E66"/>
    <w:rsid w:val="00CF5FFE"/>
    <w:rsid w:val="00CF62BC"/>
    <w:rsid w:val="00CF636B"/>
    <w:rsid w:val="00CF645A"/>
    <w:rsid w:val="00CF6626"/>
    <w:rsid w:val="00CF672F"/>
    <w:rsid w:val="00CF6A24"/>
    <w:rsid w:val="00CF6DC4"/>
    <w:rsid w:val="00CF6FB0"/>
    <w:rsid w:val="00CF7148"/>
    <w:rsid w:val="00CF7237"/>
    <w:rsid w:val="00CF7417"/>
    <w:rsid w:val="00CF754B"/>
    <w:rsid w:val="00CF76BC"/>
    <w:rsid w:val="00CF787F"/>
    <w:rsid w:val="00CF7A75"/>
    <w:rsid w:val="00D00132"/>
    <w:rsid w:val="00D0035A"/>
    <w:rsid w:val="00D0079C"/>
    <w:rsid w:val="00D00993"/>
    <w:rsid w:val="00D00C1C"/>
    <w:rsid w:val="00D00E8D"/>
    <w:rsid w:val="00D0105B"/>
    <w:rsid w:val="00D01186"/>
    <w:rsid w:val="00D0160F"/>
    <w:rsid w:val="00D017B7"/>
    <w:rsid w:val="00D01957"/>
    <w:rsid w:val="00D01A22"/>
    <w:rsid w:val="00D01A7D"/>
    <w:rsid w:val="00D01B78"/>
    <w:rsid w:val="00D01CC7"/>
    <w:rsid w:val="00D01E34"/>
    <w:rsid w:val="00D01F93"/>
    <w:rsid w:val="00D021C6"/>
    <w:rsid w:val="00D02619"/>
    <w:rsid w:val="00D02D54"/>
    <w:rsid w:val="00D02E40"/>
    <w:rsid w:val="00D03027"/>
    <w:rsid w:val="00D0304E"/>
    <w:rsid w:val="00D0308B"/>
    <w:rsid w:val="00D03373"/>
    <w:rsid w:val="00D035CE"/>
    <w:rsid w:val="00D0399D"/>
    <w:rsid w:val="00D03C09"/>
    <w:rsid w:val="00D03C63"/>
    <w:rsid w:val="00D03E9A"/>
    <w:rsid w:val="00D03FF8"/>
    <w:rsid w:val="00D04060"/>
    <w:rsid w:val="00D04064"/>
    <w:rsid w:val="00D0406F"/>
    <w:rsid w:val="00D040A5"/>
    <w:rsid w:val="00D0419C"/>
    <w:rsid w:val="00D04324"/>
    <w:rsid w:val="00D043A1"/>
    <w:rsid w:val="00D044E7"/>
    <w:rsid w:val="00D04561"/>
    <w:rsid w:val="00D046ED"/>
    <w:rsid w:val="00D047C6"/>
    <w:rsid w:val="00D04838"/>
    <w:rsid w:val="00D0484B"/>
    <w:rsid w:val="00D04928"/>
    <w:rsid w:val="00D04A68"/>
    <w:rsid w:val="00D04FE3"/>
    <w:rsid w:val="00D050DE"/>
    <w:rsid w:val="00D05130"/>
    <w:rsid w:val="00D05463"/>
    <w:rsid w:val="00D05528"/>
    <w:rsid w:val="00D057A8"/>
    <w:rsid w:val="00D05919"/>
    <w:rsid w:val="00D05971"/>
    <w:rsid w:val="00D059B1"/>
    <w:rsid w:val="00D05AF7"/>
    <w:rsid w:val="00D05DE2"/>
    <w:rsid w:val="00D05F36"/>
    <w:rsid w:val="00D05F82"/>
    <w:rsid w:val="00D06007"/>
    <w:rsid w:val="00D06095"/>
    <w:rsid w:val="00D064F9"/>
    <w:rsid w:val="00D06513"/>
    <w:rsid w:val="00D0655F"/>
    <w:rsid w:val="00D06709"/>
    <w:rsid w:val="00D067D9"/>
    <w:rsid w:val="00D06884"/>
    <w:rsid w:val="00D0688E"/>
    <w:rsid w:val="00D068AC"/>
    <w:rsid w:val="00D06A45"/>
    <w:rsid w:val="00D06B7A"/>
    <w:rsid w:val="00D06C8C"/>
    <w:rsid w:val="00D06EB3"/>
    <w:rsid w:val="00D06EF2"/>
    <w:rsid w:val="00D06F82"/>
    <w:rsid w:val="00D07116"/>
    <w:rsid w:val="00D07300"/>
    <w:rsid w:val="00D074BE"/>
    <w:rsid w:val="00D07C60"/>
    <w:rsid w:val="00D07F92"/>
    <w:rsid w:val="00D10174"/>
    <w:rsid w:val="00D1040C"/>
    <w:rsid w:val="00D1042A"/>
    <w:rsid w:val="00D10440"/>
    <w:rsid w:val="00D10539"/>
    <w:rsid w:val="00D10731"/>
    <w:rsid w:val="00D10799"/>
    <w:rsid w:val="00D1097C"/>
    <w:rsid w:val="00D10F00"/>
    <w:rsid w:val="00D11044"/>
    <w:rsid w:val="00D1114E"/>
    <w:rsid w:val="00D112F3"/>
    <w:rsid w:val="00D1153C"/>
    <w:rsid w:val="00D1164A"/>
    <w:rsid w:val="00D116E5"/>
    <w:rsid w:val="00D117A5"/>
    <w:rsid w:val="00D117D1"/>
    <w:rsid w:val="00D118BC"/>
    <w:rsid w:val="00D11928"/>
    <w:rsid w:val="00D119A8"/>
    <w:rsid w:val="00D11A16"/>
    <w:rsid w:val="00D11C2F"/>
    <w:rsid w:val="00D11CDE"/>
    <w:rsid w:val="00D11D1B"/>
    <w:rsid w:val="00D11DC5"/>
    <w:rsid w:val="00D11F18"/>
    <w:rsid w:val="00D11F83"/>
    <w:rsid w:val="00D12168"/>
    <w:rsid w:val="00D121CC"/>
    <w:rsid w:val="00D121DC"/>
    <w:rsid w:val="00D1233E"/>
    <w:rsid w:val="00D12387"/>
    <w:rsid w:val="00D124B4"/>
    <w:rsid w:val="00D12518"/>
    <w:rsid w:val="00D12526"/>
    <w:rsid w:val="00D126DF"/>
    <w:rsid w:val="00D127B1"/>
    <w:rsid w:val="00D12884"/>
    <w:rsid w:val="00D129AC"/>
    <w:rsid w:val="00D129B3"/>
    <w:rsid w:val="00D129F2"/>
    <w:rsid w:val="00D12CC6"/>
    <w:rsid w:val="00D12D88"/>
    <w:rsid w:val="00D12DCC"/>
    <w:rsid w:val="00D12E95"/>
    <w:rsid w:val="00D12F08"/>
    <w:rsid w:val="00D13101"/>
    <w:rsid w:val="00D13664"/>
    <w:rsid w:val="00D13909"/>
    <w:rsid w:val="00D13937"/>
    <w:rsid w:val="00D1394D"/>
    <w:rsid w:val="00D13A37"/>
    <w:rsid w:val="00D13AC8"/>
    <w:rsid w:val="00D13CE6"/>
    <w:rsid w:val="00D13E41"/>
    <w:rsid w:val="00D14074"/>
    <w:rsid w:val="00D141B9"/>
    <w:rsid w:val="00D141D4"/>
    <w:rsid w:val="00D141E3"/>
    <w:rsid w:val="00D14260"/>
    <w:rsid w:val="00D14579"/>
    <w:rsid w:val="00D147E4"/>
    <w:rsid w:val="00D148D6"/>
    <w:rsid w:val="00D14954"/>
    <w:rsid w:val="00D14D1E"/>
    <w:rsid w:val="00D14E73"/>
    <w:rsid w:val="00D151CC"/>
    <w:rsid w:val="00D154E5"/>
    <w:rsid w:val="00D155BB"/>
    <w:rsid w:val="00D15819"/>
    <w:rsid w:val="00D15A03"/>
    <w:rsid w:val="00D15ECF"/>
    <w:rsid w:val="00D15FDF"/>
    <w:rsid w:val="00D160B1"/>
    <w:rsid w:val="00D1610F"/>
    <w:rsid w:val="00D16222"/>
    <w:rsid w:val="00D1623E"/>
    <w:rsid w:val="00D1647F"/>
    <w:rsid w:val="00D164D1"/>
    <w:rsid w:val="00D16557"/>
    <w:rsid w:val="00D165C3"/>
    <w:rsid w:val="00D16705"/>
    <w:rsid w:val="00D167F0"/>
    <w:rsid w:val="00D16C5D"/>
    <w:rsid w:val="00D16C95"/>
    <w:rsid w:val="00D16CAB"/>
    <w:rsid w:val="00D16DB4"/>
    <w:rsid w:val="00D1700F"/>
    <w:rsid w:val="00D171CF"/>
    <w:rsid w:val="00D171E8"/>
    <w:rsid w:val="00D171F6"/>
    <w:rsid w:val="00D172A7"/>
    <w:rsid w:val="00D17575"/>
    <w:rsid w:val="00D17637"/>
    <w:rsid w:val="00D176DF"/>
    <w:rsid w:val="00D177D8"/>
    <w:rsid w:val="00D17828"/>
    <w:rsid w:val="00D1782B"/>
    <w:rsid w:val="00D17A8F"/>
    <w:rsid w:val="00D17ADB"/>
    <w:rsid w:val="00D17BB6"/>
    <w:rsid w:val="00D17D45"/>
    <w:rsid w:val="00D17E23"/>
    <w:rsid w:val="00D17F0A"/>
    <w:rsid w:val="00D2023A"/>
    <w:rsid w:val="00D2055F"/>
    <w:rsid w:val="00D20638"/>
    <w:rsid w:val="00D20657"/>
    <w:rsid w:val="00D20D31"/>
    <w:rsid w:val="00D20FA4"/>
    <w:rsid w:val="00D21265"/>
    <w:rsid w:val="00D212CF"/>
    <w:rsid w:val="00D213B8"/>
    <w:rsid w:val="00D2145E"/>
    <w:rsid w:val="00D214AD"/>
    <w:rsid w:val="00D215B5"/>
    <w:rsid w:val="00D216F7"/>
    <w:rsid w:val="00D218E5"/>
    <w:rsid w:val="00D21A31"/>
    <w:rsid w:val="00D21B57"/>
    <w:rsid w:val="00D21B60"/>
    <w:rsid w:val="00D21BB9"/>
    <w:rsid w:val="00D220C1"/>
    <w:rsid w:val="00D22145"/>
    <w:rsid w:val="00D2233D"/>
    <w:rsid w:val="00D22462"/>
    <w:rsid w:val="00D22962"/>
    <w:rsid w:val="00D229C3"/>
    <w:rsid w:val="00D22C10"/>
    <w:rsid w:val="00D22C17"/>
    <w:rsid w:val="00D22C1B"/>
    <w:rsid w:val="00D22F2F"/>
    <w:rsid w:val="00D22F7D"/>
    <w:rsid w:val="00D23081"/>
    <w:rsid w:val="00D23262"/>
    <w:rsid w:val="00D2329A"/>
    <w:rsid w:val="00D2344E"/>
    <w:rsid w:val="00D234D8"/>
    <w:rsid w:val="00D2370A"/>
    <w:rsid w:val="00D23753"/>
    <w:rsid w:val="00D23B12"/>
    <w:rsid w:val="00D23BB0"/>
    <w:rsid w:val="00D23D26"/>
    <w:rsid w:val="00D23D2C"/>
    <w:rsid w:val="00D23F9A"/>
    <w:rsid w:val="00D241C8"/>
    <w:rsid w:val="00D241CC"/>
    <w:rsid w:val="00D241DE"/>
    <w:rsid w:val="00D24225"/>
    <w:rsid w:val="00D24226"/>
    <w:rsid w:val="00D2493A"/>
    <w:rsid w:val="00D24A65"/>
    <w:rsid w:val="00D24FDE"/>
    <w:rsid w:val="00D251CD"/>
    <w:rsid w:val="00D2542F"/>
    <w:rsid w:val="00D254D0"/>
    <w:rsid w:val="00D25836"/>
    <w:rsid w:val="00D25A3C"/>
    <w:rsid w:val="00D25A92"/>
    <w:rsid w:val="00D25AC3"/>
    <w:rsid w:val="00D25BBF"/>
    <w:rsid w:val="00D25E45"/>
    <w:rsid w:val="00D25EA1"/>
    <w:rsid w:val="00D26164"/>
    <w:rsid w:val="00D262D5"/>
    <w:rsid w:val="00D26A02"/>
    <w:rsid w:val="00D26A0F"/>
    <w:rsid w:val="00D26AD7"/>
    <w:rsid w:val="00D26D15"/>
    <w:rsid w:val="00D26DDF"/>
    <w:rsid w:val="00D270FD"/>
    <w:rsid w:val="00D27137"/>
    <w:rsid w:val="00D27147"/>
    <w:rsid w:val="00D27278"/>
    <w:rsid w:val="00D27354"/>
    <w:rsid w:val="00D273A6"/>
    <w:rsid w:val="00D274F8"/>
    <w:rsid w:val="00D275C2"/>
    <w:rsid w:val="00D276D4"/>
    <w:rsid w:val="00D276F5"/>
    <w:rsid w:val="00D27860"/>
    <w:rsid w:val="00D278FF"/>
    <w:rsid w:val="00D27968"/>
    <w:rsid w:val="00D27B8E"/>
    <w:rsid w:val="00D27DA5"/>
    <w:rsid w:val="00D27E6A"/>
    <w:rsid w:val="00D27F0E"/>
    <w:rsid w:val="00D27F2B"/>
    <w:rsid w:val="00D27F87"/>
    <w:rsid w:val="00D27F92"/>
    <w:rsid w:val="00D30173"/>
    <w:rsid w:val="00D30348"/>
    <w:rsid w:val="00D30691"/>
    <w:rsid w:val="00D30865"/>
    <w:rsid w:val="00D3087E"/>
    <w:rsid w:val="00D308E6"/>
    <w:rsid w:val="00D3097E"/>
    <w:rsid w:val="00D30ACC"/>
    <w:rsid w:val="00D30B4A"/>
    <w:rsid w:val="00D30C90"/>
    <w:rsid w:val="00D310AB"/>
    <w:rsid w:val="00D31242"/>
    <w:rsid w:val="00D31243"/>
    <w:rsid w:val="00D3169F"/>
    <w:rsid w:val="00D316DE"/>
    <w:rsid w:val="00D31792"/>
    <w:rsid w:val="00D317B3"/>
    <w:rsid w:val="00D317BF"/>
    <w:rsid w:val="00D31A02"/>
    <w:rsid w:val="00D31BA4"/>
    <w:rsid w:val="00D31E27"/>
    <w:rsid w:val="00D320DF"/>
    <w:rsid w:val="00D3221D"/>
    <w:rsid w:val="00D32278"/>
    <w:rsid w:val="00D324E7"/>
    <w:rsid w:val="00D325AE"/>
    <w:rsid w:val="00D32667"/>
    <w:rsid w:val="00D326A6"/>
    <w:rsid w:val="00D3277B"/>
    <w:rsid w:val="00D32913"/>
    <w:rsid w:val="00D32AF7"/>
    <w:rsid w:val="00D32C3A"/>
    <w:rsid w:val="00D32C51"/>
    <w:rsid w:val="00D32C79"/>
    <w:rsid w:val="00D32E6D"/>
    <w:rsid w:val="00D33097"/>
    <w:rsid w:val="00D33394"/>
    <w:rsid w:val="00D333C3"/>
    <w:rsid w:val="00D33536"/>
    <w:rsid w:val="00D335D1"/>
    <w:rsid w:val="00D335DC"/>
    <w:rsid w:val="00D337A8"/>
    <w:rsid w:val="00D33825"/>
    <w:rsid w:val="00D338A8"/>
    <w:rsid w:val="00D339DC"/>
    <w:rsid w:val="00D33A68"/>
    <w:rsid w:val="00D33C9C"/>
    <w:rsid w:val="00D33FC7"/>
    <w:rsid w:val="00D3431F"/>
    <w:rsid w:val="00D34456"/>
    <w:rsid w:val="00D34630"/>
    <w:rsid w:val="00D346F3"/>
    <w:rsid w:val="00D34826"/>
    <w:rsid w:val="00D34C14"/>
    <w:rsid w:val="00D34C62"/>
    <w:rsid w:val="00D34EC0"/>
    <w:rsid w:val="00D34F11"/>
    <w:rsid w:val="00D35074"/>
    <w:rsid w:val="00D35075"/>
    <w:rsid w:val="00D3507F"/>
    <w:rsid w:val="00D351DC"/>
    <w:rsid w:val="00D35546"/>
    <w:rsid w:val="00D3557C"/>
    <w:rsid w:val="00D356F7"/>
    <w:rsid w:val="00D358A7"/>
    <w:rsid w:val="00D3597A"/>
    <w:rsid w:val="00D35A55"/>
    <w:rsid w:val="00D35BF5"/>
    <w:rsid w:val="00D35C54"/>
    <w:rsid w:val="00D35DE7"/>
    <w:rsid w:val="00D36015"/>
    <w:rsid w:val="00D36024"/>
    <w:rsid w:val="00D36034"/>
    <w:rsid w:val="00D36068"/>
    <w:rsid w:val="00D36083"/>
    <w:rsid w:val="00D360AC"/>
    <w:rsid w:val="00D360B9"/>
    <w:rsid w:val="00D361B8"/>
    <w:rsid w:val="00D361DE"/>
    <w:rsid w:val="00D362B3"/>
    <w:rsid w:val="00D36556"/>
    <w:rsid w:val="00D365BE"/>
    <w:rsid w:val="00D36949"/>
    <w:rsid w:val="00D36A04"/>
    <w:rsid w:val="00D36A73"/>
    <w:rsid w:val="00D36B01"/>
    <w:rsid w:val="00D36B10"/>
    <w:rsid w:val="00D36B6C"/>
    <w:rsid w:val="00D36BFD"/>
    <w:rsid w:val="00D370E8"/>
    <w:rsid w:val="00D3750D"/>
    <w:rsid w:val="00D377DC"/>
    <w:rsid w:val="00D37876"/>
    <w:rsid w:val="00D37D75"/>
    <w:rsid w:val="00D37E5C"/>
    <w:rsid w:val="00D400C6"/>
    <w:rsid w:val="00D401A9"/>
    <w:rsid w:val="00D402BA"/>
    <w:rsid w:val="00D40429"/>
    <w:rsid w:val="00D405F8"/>
    <w:rsid w:val="00D407FA"/>
    <w:rsid w:val="00D40939"/>
    <w:rsid w:val="00D40A43"/>
    <w:rsid w:val="00D40D32"/>
    <w:rsid w:val="00D40E78"/>
    <w:rsid w:val="00D4119C"/>
    <w:rsid w:val="00D41271"/>
    <w:rsid w:val="00D413FB"/>
    <w:rsid w:val="00D414EB"/>
    <w:rsid w:val="00D41A01"/>
    <w:rsid w:val="00D41A23"/>
    <w:rsid w:val="00D41B83"/>
    <w:rsid w:val="00D41C81"/>
    <w:rsid w:val="00D41C8B"/>
    <w:rsid w:val="00D41D44"/>
    <w:rsid w:val="00D41E46"/>
    <w:rsid w:val="00D41FD4"/>
    <w:rsid w:val="00D42016"/>
    <w:rsid w:val="00D42198"/>
    <w:rsid w:val="00D42509"/>
    <w:rsid w:val="00D426B5"/>
    <w:rsid w:val="00D42773"/>
    <w:rsid w:val="00D42999"/>
    <w:rsid w:val="00D42BF8"/>
    <w:rsid w:val="00D43025"/>
    <w:rsid w:val="00D4319C"/>
    <w:rsid w:val="00D4329F"/>
    <w:rsid w:val="00D433E1"/>
    <w:rsid w:val="00D4345F"/>
    <w:rsid w:val="00D434E1"/>
    <w:rsid w:val="00D435C1"/>
    <w:rsid w:val="00D43776"/>
    <w:rsid w:val="00D43836"/>
    <w:rsid w:val="00D43839"/>
    <w:rsid w:val="00D43888"/>
    <w:rsid w:val="00D439D2"/>
    <w:rsid w:val="00D43B27"/>
    <w:rsid w:val="00D43C69"/>
    <w:rsid w:val="00D440B2"/>
    <w:rsid w:val="00D4417F"/>
    <w:rsid w:val="00D44270"/>
    <w:rsid w:val="00D4464C"/>
    <w:rsid w:val="00D4473E"/>
    <w:rsid w:val="00D44766"/>
    <w:rsid w:val="00D447F1"/>
    <w:rsid w:val="00D44800"/>
    <w:rsid w:val="00D4495A"/>
    <w:rsid w:val="00D44A18"/>
    <w:rsid w:val="00D44B66"/>
    <w:rsid w:val="00D44C87"/>
    <w:rsid w:val="00D44D7A"/>
    <w:rsid w:val="00D44E54"/>
    <w:rsid w:val="00D454B9"/>
    <w:rsid w:val="00D45809"/>
    <w:rsid w:val="00D458BB"/>
    <w:rsid w:val="00D45985"/>
    <w:rsid w:val="00D45A78"/>
    <w:rsid w:val="00D45C2B"/>
    <w:rsid w:val="00D45D53"/>
    <w:rsid w:val="00D45E04"/>
    <w:rsid w:val="00D45E35"/>
    <w:rsid w:val="00D46035"/>
    <w:rsid w:val="00D46052"/>
    <w:rsid w:val="00D460E3"/>
    <w:rsid w:val="00D462F1"/>
    <w:rsid w:val="00D46436"/>
    <w:rsid w:val="00D464E9"/>
    <w:rsid w:val="00D467B0"/>
    <w:rsid w:val="00D468CD"/>
    <w:rsid w:val="00D46945"/>
    <w:rsid w:val="00D46958"/>
    <w:rsid w:val="00D46963"/>
    <w:rsid w:val="00D46998"/>
    <w:rsid w:val="00D46D60"/>
    <w:rsid w:val="00D46FFB"/>
    <w:rsid w:val="00D470A6"/>
    <w:rsid w:val="00D4712C"/>
    <w:rsid w:val="00D47286"/>
    <w:rsid w:val="00D4735D"/>
    <w:rsid w:val="00D47435"/>
    <w:rsid w:val="00D4748D"/>
    <w:rsid w:val="00D479C9"/>
    <w:rsid w:val="00D47AB1"/>
    <w:rsid w:val="00D47C6D"/>
    <w:rsid w:val="00D47FD3"/>
    <w:rsid w:val="00D50576"/>
    <w:rsid w:val="00D5073F"/>
    <w:rsid w:val="00D507CD"/>
    <w:rsid w:val="00D50AD0"/>
    <w:rsid w:val="00D50B06"/>
    <w:rsid w:val="00D50BBD"/>
    <w:rsid w:val="00D50C0B"/>
    <w:rsid w:val="00D50C96"/>
    <w:rsid w:val="00D50DE9"/>
    <w:rsid w:val="00D50E1E"/>
    <w:rsid w:val="00D50F00"/>
    <w:rsid w:val="00D5100A"/>
    <w:rsid w:val="00D51525"/>
    <w:rsid w:val="00D5189C"/>
    <w:rsid w:val="00D51BE4"/>
    <w:rsid w:val="00D51C3F"/>
    <w:rsid w:val="00D51C63"/>
    <w:rsid w:val="00D51D98"/>
    <w:rsid w:val="00D52026"/>
    <w:rsid w:val="00D522EC"/>
    <w:rsid w:val="00D523AC"/>
    <w:rsid w:val="00D5245B"/>
    <w:rsid w:val="00D525A5"/>
    <w:rsid w:val="00D52811"/>
    <w:rsid w:val="00D52814"/>
    <w:rsid w:val="00D5292E"/>
    <w:rsid w:val="00D529BF"/>
    <w:rsid w:val="00D52A3A"/>
    <w:rsid w:val="00D52A79"/>
    <w:rsid w:val="00D52C6B"/>
    <w:rsid w:val="00D53039"/>
    <w:rsid w:val="00D532C1"/>
    <w:rsid w:val="00D53398"/>
    <w:rsid w:val="00D533DB"/>
    <w:rsid w:val="00D5341F"/>
    <w:rsid w:val="00D5347D"/>
    <w:rsid w:val="00D534EF"/>
    <w:rsid w:val="00D5352F"/>
    <w:rsid w:val="00D537E3"/>
    <w:rsid w:val="00D5387E"/>
    <w:rsid w:val="00D539A5"/>
    <w:rsid w:val="00D53A96"/>
    <w:rsid w:val="00D53ACC"/>
    <w:rsid w:val="00D53B27"/>
    <w:rsid w:val="00D53D0E"/>
    <w:rsid w:val="00D53E91"/>
    <w:rsid w:val="00D5418E"/>
    <w:rsid w:val="00D54263"/>
    <w:rsid w:val="00D5436D"/>
    <w:rsid w:val="00D54559"/>
    <w:rsid w:val="00D54819"/>
    <w:rsid w:val="00D54A27"/>
    <w:rsid w:val="00D54A6E"/>
    <w:rsid w:val="00D54CD0"/>
    <w:rsid w:val="00D54CD7"/>
    <w:rsid w:val="00D54D5A"/>
    <w:rsid w:val="00D54F54"/>
    <w:rsid w:val="00D54FA7"/>
    <w:rsid w:val="00D55114"/>
    <w:rsid w:val="00D551D7"/>
    <w:rsid w:val="00D5535C"/>
    <w:rsid w:val="00D55520"/>
    <w:rsid w:val="00D555D5"/>
    <w:rsid w:val="00D557B6"/>
    <w:rsid w:val="00D557FC"/>
    <w:rsid w:val="00D55942"/>
    <w:rsid w:val="00D55AA5"/>
    <w:rsid w:val="00D55ADB"/>
    <w:rsid w:val="00D55C11"/>
    <w:rsid w:val="00D561C7"/>
    <w:rsid w:val="00D562CD"/>
    <w:rsid w:val="00D56604"/>
    <w:rsid w:val="00D5697A"/>
    <w:rsid w:val="00D56EF9"/>
    <w:rsid w:val="00D57205"/>
    <w:rsid w:val="00D572A1"/>
    <w:rsid w:val="00D57408"/>
    <w:rsid w:val="00D57A32"/>
    <w:rsid w:val="00D57F0D"/>
    <w:rsid w:val="00D60212"/>
    <w:rsid w:val="00D609CD"/>
    <w:rsid w:val="00D60D07"/>
    <w:rsid w:val="00D60D10"/>
    <w:rsid w:val="00D60F81"/>
    <w:rsid w:val="00D60FFE"/>
    <w:rsid w:val="00D61010"/>
    <w:rsid w:val="00D61036"/>
    <w:rsid w:val="00D6112E"/>
    <w:rsid w:val="00D61277"/>
    <w:rsid w:val="00D61424"/>
    <w:rsid w:val="00D61436"/>
    <w:rsid w:val="00D614AA"/>
    <w:rsid w:val="00D614FB"/>
    <w:rsid w:val="00D61615"/>
    <w:rsid w:val="00D61776"/>
    <w:rsid w:val="00D6188B"/>
    <w:rsid w:val="00D61D85"/>
    <w:rsid w:val="00D61E3E"/>
    <w:rsid w:val="00D61E93"/>
    <w:rsid w:val="00D620E3"/>
    <w:rsid w:val="00D62214"/>
    <w:rsid w:val="00D622F8"/>
    <w:rsid w:val="00D623C6"/>
    <w:rsid w:val="00D626B3"/>
    <w:rsid w:val="00D62C29"/>
    <w:rsid w:val="00D62DEB"/>
    <w:rsid w:val="00D62F87"/>
    <w:rsid w:val="00D6306D"/>
    <w:rsid w:val="00D631D8"/>
    <w:rsid w:val="00D638D3"/>
    <w:rsid w:val="00D639B2"/>
    <w:rsid w:val="00D63BF9"/>
    <w:rsid w:val="00D63C3F"/>
    <w:rsid w:val="00D63D1C"/>
    <w:rsid w:val="00D63DE9"/>
    <w:rsid w:val="00D63F1D"/>
    <w:rsid w:val="00D6403C"/>
    <w:rsid w:val="00D6435A"/>
    <w:rsid w:val="00D64674"/>
    <w:rsid w:val="00D647A0"/>
    <w:rsid w:val="00D6492D"/>
    <w:rsid w:val="00D649EA"/>
    <w:rsid w:val="00D64B2C"/>
    <w:rsid w:val="00D64D25"/>
    <w:rsid w:val="00D64D3A"/>
    <w:rsid w:val="00D64D99"/>
    <w:rsid w:val="00D65036"/>
    <w:rsid w:val="00D6504F"/>
    <w:rsid w:val="00D65178"/>
    <w:rsid w:val="00D651C6"/>
    <w:rsid w:val="00D652A4"/>
    <w:rsid w:val="00D6541F"/>
    <w:rsid w:val="00D6545C"/>
    <w:rsid w:val="00D654C1"/>
    <w:rsid w:val="00D65B35"/>
    <w:rsid w:val="00D65D45"/>
    <w:rsid w:val="00D65E7A"/>
    <w:rsid w:val="00D65F0B"/>
    <w:rsid w:val="00D6612D"/>
    <w:rsid w:val="00D66401"/>
    <w:rsid w:val="00D664D9"/>
    <w:rsid w:val="00D66637"/>
    <w:rsid w:val="00D668D1"/>
    <w:rsid w:val="00D66905"/>
    <w:rsid w:val="00D66A56"/>
    <w:rsid w:val="00D66E5D"/>
    <w:rsid w:val="00D66EAE"/>
    <w:rsid w:val="00D66EB2"/>
    <w:rsid w:val="00D66FE3"/>
    <w:rsid w:val="00D67007"/>
    <w:rsid w:val="00D67069"/>
    <w:rsid w:val="00D6719A"/>
    <w:rsid w:val="00D67295"/>
    <w:rsid w:val="00D672B3"/>
    <w:rsid w:val="00D675E0"/>
    <w:rsid w:val="00D675F9"/>
    <w:rsid w:val="00D6782D"/>
    <w:rsid w:val="00D6786F"/>
    <w:rsid w:val="00D67B58"/>
    <w:rsid w:val="00D67E81"/>
    <w:rsid w:val="00D67E9C"/>
    <w:rsid w:val="00D7039F"/>
    <w:rsid w:val="00D704B6"/>
    <w:rsid w:val="00D705AB"/>
    <w:rsid w:val="00D70682"/>
    <w:rsid w:val="00D7076C"/>
    <w:rsid w:val="00D70A67"/>
    <w:rsid w:val="00D70B1B"/>
    <w:rsid w:val="00D70BCA"/>
    <w:rsid w:val="00D70C0E"/>
    <w:rsid w:val="00D70CC2"/>
    <w:rsid w:val="00D70DE1"/>
    <w:rsid w:val="00D70E19"/>
    <w:rsid w:val="00D70E2D"/>
    <w:rsid w:val="00D71099"/>
    <w:rsid w:val="00D7123A"/>
    <w:rsid w:val="00D713EF"/>
    <w:rsid w:val="00D7161B"/>
    <w:rsid w:val="00D71726"/>
    <w:rsid w:val="00D717EE"/>
    <w:rsid w:val="00D71877"/>
    <w:rsid w:val="00D718C3"/>
    <w:rsid w:val="00D7193F"/>
    <w:rsid w:val="00D71982"/>
    <w:rsid w:val="00D71BF2"/>
    <w:rsid w:val="00D71C29"/>
    <w:rsid w:val="00D71E2B"/>
    <w:rsid w:val="00D71F01"/>
    <w:rsid w:val="00D71FBB"/>
    <w:rsid w:val="00D722E5"/>
    <w:rsid w:val="00D72421"/>
    <w:rsid w:val="00D7283A"/>
    <w:rsid w:val="00D72DC8"/>
    <w:rsid w:val="00D72DE2"/>
    <w:rsid w:val="00D73051"/>
    <w:rsid w:val="00D730D6"/>
    <w:rsid w:val="00D73291"/>
    <w:rsid w:val="00D7362D"/>
    <w:rsid w:val="00D73690"/>
    <w:rsid w:val="00D73890"/>
    <w:rsid w:val="00D73A06"/>
    <w:rsid w:val="00D73D55"/>
    <w:rsid w:val="00D74102"/>
    <w:rsid w:val="00D7423D"/>
    <w:rsid w:val="00D74369"/>
    <w:rsid w:val="00D744C5"/>
    <w:rsid w:val="00D74507"/>
    <w:rsid w:val="00D74654"/>
    <w:rsid w:val="00D7486E"/>
    <w:rsid w:val="00D74951"/>
    <w:rsid w:val="00D74AB5"/>
    <w:rsid w:val="00D74AC0"/>
    <w:rsid w:val="00D74CBD"/>
    <w:rsid w:val="00D74E4D"/>
    <w:rsid w:val="00D74E64"/>
    <w:rsid w:val="00D7508F"/>
    <w:rsid w:val="00D75271"/>
    <w:rsid w:val="00D754AA"/>
    <w:rsid w:val="00D754FE"/>
    <w:rsid w:val="00D7560A"/>
    <w:rsid w:val="00D75742"/>
    <w:rsid w:val="00D7577F"/>
    <w:rsid w:val="00D75865"/>
    <w:rsid w:val="00D759AD"/>
    <w:rsid w:val="00D75BE4"/>
    <w:rsid w:val="00D75C63"/>
    <w:rsid w:val="00D75CF4"/>
    <w:rsid w:val="00D75E96"/>
    <w:rsid w:val="00D763B2"/>
    <w:rsid w:val="00D76500"/>
    <w:rsid w:val="00D76528"/>
    <w:rsid w:val="00D765AE"/>
    <w:rsid w:val="00D76647"/>
    <w:rsid w:val="00D76798"/>
    <w:rsid w:val="00D767F4"/>
    <w:rsid w:val="00D76986"/>
    <w:rsid w:val="00D76CBD"/>
    <w:rsid w:val="00D76D66"/>
    <w:rsid w:val="00D76FAD"/>
    <w:rsid w:val="00D76FC8"/>
    <w:rsid w:val="00D77498"/>
    <w:rsid w:val="00D774D6"/>
    <w:rsid w:val="00D77536"/>
    <w:rsid w:val="00D77621"/>
    <w:rsid w:val="00D77665"/>
    <w:rsid w:val="00D7766F"/>
    <w:rsid w:val="00D776A6"/>
    <w:rsid w:val="00D7781E"/>
    <w:rsid w:val="00D779BB"/>
    <w:rsid w:val="00D779DD"/>
    <w:rsid w:val="00D77CAE"/>
    <w:rsid w:val="00D77CD7"/>
    <w:rsid w:val="00D77D14"/>
    <w:rsid w:val="00D8032F"/>
    <w:rsid w:val="00D803EC"/>
    <w:rsid w:val="00D804D0"/>
    <w:rsid w:val="00D80637"/>
    <w:rsid w:val="00D8066E"/>
    <w:rsid w:val="00D8068D"/>
    <w:rsid w:val="00D8072A"/>
    <w:rsid w:val="00D808BF"/>
    <w:rsid w:val="00D808EF"/>
    <w:rsid w:val="00D80A6E"/>
    <w:rsid w:val="00D80B20"/>
    <w:rsid w:val="00D80C31"/>
    <w:rsid w:val="00D80E6A"/>
    <w:rsid w:val="00D80F1A"/>
    <w:rsid w:val="00D80FAF"/>
    <w:rsid w:val="00D81109"/>
    <w:rsid w:val="00D81178"/>
    <w:rsid w:val="00D813BF"/>
    <w:rsid w:val="00D8145B"/>
    <w:rsid w:val="00D81499"/>
    <w:rsid w:val="00D8193E"/>
    <w:rsid w:val="00D81B91"/>
    <w:rsid w:val="00D81C47"/>
    <w:rsid w:val="00D81EEE"/>
    <w:rsid w:val="00D81FA1"/>
    <w:rsid w:val="00D81FCF"/>
    <w:rsid w:val="00D82231"/>
    <w:rsid w:val="00D82272"/>
    <w:rsid w:val="00D82510"/>
    <w:rsid w:val="00D82A04"/>
    <w:rsid w:val="00D82AFC"/>
    <w:rsid w:val="00D82C38"/>
    <w:rsid w:val="00D82D62"/>
    <w:rsid w:val="00D82F2D"/>
    <w:rsid w:val="00D83028"/>
    <w:rsid w:val="00D8315A"/>
    <w:rsid w:val="00D83263"/>
    <w:rsid w:val="00D83337"/>
    <w:rsid w:val="00D8370C"/>
    <w:rsid w:val="00D8397D"/>
    <w:rsid w:val="00D83C59"/>
    <w:rsid w:val="00D8400C"/>
    <w:rsid w:val="00D8442C"/>
    <w:rsid w:val="00D845D4"/>
    <w:rsid w:val="00D847E6"/>
    <w:rsid w:val="00D848C0"/>
    <w:rsid w:val="00D848E0"/>
    <w:rsid w:val="00D84A6A"/>
    <w:rsid w:val="00D84AF7"/>
    <w:rsid w:val="00D84BC7"/>
    <w:rsid w:val="00D84D3B"/>
    <w:rsid w:val="00D8516E"/>
    <w:rsid w:val="00D85280"/>
    <w:rsid w:val="00D852C5"/>
    <w:rsid w:val="00D85312"/>
    <w:rsid w:val="00D85465"/>
    <w:rsid w:val="00D855B1"/>
    <w:rsid w:val="00D85736"/>
    <w:rsid w:val="00D8577B"/>
    <w:rsid w:val="00D85C1A"/>
    <w:rsid w:val="00D85C61"/>
    <w:rsid w:val="00D85E04"/>
    <w:rsid w:val="00D865B5"/>
    <w:rsid w:val="00D86635"/>
    <w:rsid w:val="00D867DA"/>
    <w:rsid w:val="00D86B6B"/>
    <w:rsid w:val="00D86C64"/>
    <w:rsid w:val="00D86E55"/>
    <w:rsid w:val="00D86F86"/>
    <w:rsid w:val="00D871C4"/>
    <w:rsid w:val="00D871F3"/>
    <w:rsid w:val="00D873F5"/>
    <w:rsid w:val="00D87410"/>
    <w:rsid w:val="00D87436"/>
    <w:rsid w:val="00D8743D"/>
    <w:rsid w:val="00D87ADE"/>
    <w:rsid w:val="00D87CB7"/>
    <w:rsid w:val="00D87CDA"/>
    <w:rsid w:val="00D900BE"/>
    <w:rsid w:val="00D901DD"/>
    <w:rsid w:val="00D903B8"/>
    <w:rsid w:val="00D90441"/>
    <w:rsid w:val="00D9053D"/>
    <w:rsid w:val="00D905F4"/>
    <w:rsid w:val="00D907A7"/>
    <w:rsid w:val="00D907DC"/>
    <w:rsid w:val="00D908CA"/>
    <w:rsid w:val="00D90CB1"/>
    <w:rsid w:val="00D90CC5"/>
    <w:rsid w:val="00D90CCB"/>
    <w:rsid w:val="00D90E2D"/>
    <w:rsid w:val="00D90E2F"/>
    <w:rsid w:val="00D90FB0"/>
    <w:rsid w:val="00D9106F"/>
    <w:rsid w:val="00D9108E"/>
    <w:rsid w:val="00D91254"/>
    <w:rsid w:val="00D91306"/>
    <w:rsid w:val="00D91417"/>
    <w:rsid w:val="00D91468"/>
    <w:rsid w:val="00D91596"/>
    <w:rsid w:val="00D9186A"/>
    <w:rsid w:val="00D918EC"/>
    <w:rsid w:val="00D919B4"/>
    <w:rsid w:val="00D919D9"/>
    <w:rsid w:val="00D91A8D"/>
    <w:rsid w:val="00D91F42"/>
    <w:rsid w:val="00D91FC6"/>
    <w:rsid w:val="00D9215D"/>
    <w:rsid w:val="00D922EC"/>
    <w:rsid w:val="00D92475"/>
    <w:rsid w:val="00D92638"/>
    <w:rsid w:val="00D9281C"/>
    <w:rsid w:val="00D928F9"/>
    <w:rsid w:val="00D92AAF"/>
    <w:rsid w:val="00D92D07"/>
    <w:rsid w:val="00D92E70"/>
    <w:rsid w:val="00D92E75"/>
    <w:rsid w:val="00D92F6D"/>
    <w:rsid w:val="00D92FC7"/>
    <w:rsid w:val="00D930E0"/>
    <w:rsid w:val="00D9310F"/>
    <w:rsid w:val="00D9312C"/>
    <w:rsid w:val="00D93415"/>
    <w:rsid w:val="00D935C4"/>
    <w:rsid w:val="00D93888"/>
    <w:rsid w:val="00D93B4C"/>
    <w:rsid w:val="00D93D7A"/>
    <w:rsid w:val="00D94179"/>
    <w:rsid w:val="00D94225"/>
    <w:rsid w:val="00D94667"/>
    <w:rsid w:val="00D947D8"/>
    <w:rsid w:val="00D9480F"/>
    <w:rsid w:val="00D9492F"/>
    <w:rsid w:val="00D94F89"/>
    <w:rsid w:val="00D9502C"/>
    <w:rsid w:val="00D95063"/>
    <w:rsid w:val="00D950D1"/>
    <w:rsid w:val="00D9518A"/>
    <w:rsid w:val="00D951E8"/>
    <w:rsid w:val="00D9525E"/>
    <w:rsid w:val="00D95311"/>
    <w:rsid w:val="00D95602"/>
    <w:rsid w:val="00D9586A"/>
    <w:rsid w:val="00D95B16"/>
    <w:rsid w:val="00D95B73"/>
    <w:rsid w:val="00D95D0E"/>
    <w:rsid w:val="00D95EB4"/>
    <w:rsid w:val="00D95F04"/>
    <w:rsid w:val="00D96020"/>
    <w:rsid w:val="00D9602D"/>
    <w:rsid w:val="00D96071"/>
    <w:rsid w:val="00D96247"/>
    <w:rsid w:val="00D96581"/>
    <w:rsid w:val="00D9668B"/>
    <w:rsid w:val="00D96A0B"/>
    <w:rsid w:val="00D96B06"/>
    <w:rsid w:val="00D96C9A"/>
    <w:rsid w:val="00D96CA4"/>
    <w:rsid w:val="00D96D2F"/>
    <w:rsid w:val="00D96F13"/>
    <w:rsid w:val="00D96F7B"/>
    <w:rsid w:val="00D971BB"/>
    <w:rsid w:val="00D97361"/>
    <w:rsid w:val="00D973F9"/>
    <w:rsid w:val="00D97416"/>
    <w:rsid w:val="00D97464"/>
    <w:rsid w:val="00D9749E"/>
    <w:rsid w:val="00D974A3"/>
    <w:rsid w:val="00D975E7"/>
    <w:rsid w:val="00D97749"/>
    <w:rsid w:val="00D977B2"/>
    <w:rsid w:val="00D97855"/>
    <w:rsid w:val="00D97859"/>
    <w:rsid w:val="00D9795A"/>
    <w:rsid w:val="00D97D98"/>
    <w:rsid w:val="00D97DAB"/>
    <w:rsid w:val="00D97FBB"/>
    <w:rsid w:val="00D97FE3"/>
    <w:rsid w:val="00DA002B"/>
    <w:rsid w:val="00DA008E"/>
    <w:rsid w:val="00DA0209"/>
    <w:rsid w:val="00DA02C3"/>
    <w:rsid w:val="00DA02FC"/>
    <w:rsid w:val="00DA045F"/>
    <w:rsid w:val="00DA0481"/>
    <w:rsid w:val="00DA0497"/>
    <w:rsid w:val="00DA04A1"/>
    <w:rsid w:val="00DA06E4"/>
    <w:rsid w:val="00DA073F"/>
    <w:rsid w:val="00DA08E6"/>
    <w:rsid w:val="00DA0A6E"/>
    <w:rsid w:val="00DA0BEE"/>
    <w:rsid w:val="00DA0E88"/>
    <w:rsid w:val="00DA0F57"/>
    <w:rsid w:val="00DA10F3"/>
    <w:rsid w:val="00DA119D"/>
    <w:rsid w:val="00DA1466"/>
    <w:rsid w:val="00DA15B2"/>
    <w:rsid w:val="00DA176D"/>
    <w:rsid w:val="00DA18EB"/>
    <w:rsid w:val="00DA1B76"/>
    <w:rsid w:val="00DA1B89"/>
    <w:rsid w:val="00DA1DB8"/>
    <w:rsid w:val="00DA1E1B"/>
    <w:rsid w:val="00DA1ED6"/>
    <w:rsid w:val="00DA1F01"/>
    <w:rsid w:val="00DA2009"/>
    <w:rsid w:val="00DA2118"/>
    <w:rsid w:val="00DA22C0"/>
    <w:rsid w:val="00DA22FC"/>
    <w:rsid w:val="00DA238E"/>
    <w:rsid w:val="00DA24AF"/>
    <w:rsid w:val="00DA24C6"/>
    <w:rsid w:val="00DA2529"/>
    <w:rsid w:val="00DA25BC"/>
    <w:rsid w:val="00DA2670"/>
    <w:rsid w:val="00DA2678"/>
    <w:rsid w:val="00DA281C"/>
    <w:rsid w:val="00DA283C"/>
    <w:rsid w:val="00DA28AC"/>
    <w:rsid w:val="00DA2AC1"/>
    <w:rsid w:val="00DA2C77"/>
    <w:rsid w:val="00DA2E53"/>
    <w:rsid w:val="00DA2FA1"/>
    <w:rsid w:val="00DA302A"/>
    <w:rsid w:val="00DA303E"/>
    <w:rsid w:val="00DA324D"/>
    <w:rsid w:val="00DA33B1"/>
    <w:rsid w:val="00DA34BF"/>
    <w:rsid w:val="00DA34F6"/>
    <w:rsid w:val="00DA358B"/>
    <w:rsid w:val="00DA3795"/>
    <w:rsid w:val="00DA3904"/>
    <w:rsid w:val="00DA3C27"/>
    <w:rsid w:val="00DA3C92"/>
    <w:rsid w:val="00DA3DA4"/>
    <w:rsid w:val="00DA407A"/>
    <w:rsid w:val="00DA40E5"/>
    <w:rsid w:val="00DA44B7"/>
    <w:rsid w:val="00DA44ED"/>
    <w:rsid w:val="00DA463A"/>
    <w:rsid w:val="00DA47A8"/>
    <w:rsid w:val="00DA497A"/>
    <w:rsid w:val="00DA4C63"/>
    <w:rsid w:val="00DA4CA2"/>
    <w:rsid w:val="00DA4CBA"/>
    <w:rsid w:val="00DA5041"/>
    <w:rsid w:val="00DA50DB"/>
    <w:rsid w:val="00DA5260"/>
    <w:rsid w:val="00DA526B"/>
    <w:rsid w:val="00DA53C0"/>
    <w:rsid w:val="00DA56D5"/>
    <w:rsid w:val="00DA59DE"/>
    <w:rsid w:val="00DA5A72"/>
    <w:rsid w:val="00DA5AED"/>
    <w:rsid w:val="00DA5AF7"/>
    <w:rsid w:val="00DA5B01"/>
    <w:rsid w:val="00DA5B8A"/>
    <w:rsid w:val="00DA5C1B"/>
    <w:rsid w:val="00DA5D7E"/>
    <w:rsid w:val="00DA5EA4"/>
    <w:rsid w:val="00DA652C"/>
    <w:rsid w:val="00DA664F"/>
    <w:rsid w:val="00DA6779"/>
    <w:rsid w:val="00DA6923"/>
    <w:rsid w:val="00DA69FA"/>
    <w:rsid w:val="00DA6B95"/>
    <w:rsid w:val="00DA6E01"/>
    <w:rsid w:val="00DA7202"/>
    <w:rsid w:val="00DA755F"/>
    <w:rsid w:val="00DA75C0"/>
    <w:rsid w:val="00DA760C"/>
    <w:rsid w:val="00DA77FD"/>
    <w:rsid w:val="00DA780A"/>
    <w:rsid w:val="00DA799D"/>
    <w:rsid w:val="00DA7A7B"/>
    <w:rsid w:val="00DA7AB1"/>
    <w:rsid w:val="00DA7BCE"/>
    <w:rsid w:val="00DA7C5B"/>
    <w:rsid w:val="00DA7CED"/>
    <w:rsid w:val="00DA7EDC"/>
    <w:rsid w:val="00DB01BE"/>
    <w:rsid w:val="00DB0873"/>
    <w:rsid w:val="00DB0C4C"/>
    <w:rsid w:val="00DB1210"/>
    <w:rsid w:val="00DB158C"/>
    <w:rsid w:val="00DB15EF"/>
    <w:rsid w:val="00DB19C2"/>
    <w:rsid w:val="00DB1AEF"/>
    <w:rsid w:val="00DB1B45"/>
    <w:rsid w:val="00DB1C2F"/>
    <w:rsid w:val="00DB1CE4"/>
    <w:rsid w:val="00DB1D40"/>
    <w:rsid w:val="00DB1F26"/>
    <w:rsid w:val="00DB1FBD"/>
    <w:rsid w:val="00DB2353"/>
    <w:rsid w:val="00DB2430"/>
    <w:rsid w:val="00DB244D"/>
    <w:rsid w:val="00DB2466"/>
    <w:rsid w:val="00DB2741"/>
    <w:rsid w:val="00DB2838"/>
    <w:rsid w:val="00DB288A"/>
    <w:rsid w:val="00DB297D"/>
    <w:rsid w:val="00DB2B65"/>
    <w:rsid w:val="00DB2EB6"/>
    <w:rsid w:val="00DB2F01"/>
    <w:rsid w:val="00DB2FB9"/>
    <w:rsid w:val="00DB2FF6"/>
    <w:rsid w:val="00DB31D6"/>
    <w:rsid w:val="00DB3250"/>
    <w:rsid w:val="00DB3315"/>
    <w:rsid w:val="00DB3414"/>
    <w:rsid w:val="00DB34E0"/>
    <w:rsid w:val="00DB34F5"/>
    <w:rsid w:val="00DB34F8"/>
    <w:rsid w:val="00DB364F"/>
    <w:rsid w:val="00DB379A"/>
    <w:rsid w:val="00DB396D"/>
    <w:rsid w:val="00DB39F7"/>
    <w:rsid w:val="00DB3B0F"/>
    <w:rsid w:val="00DB3BDF"/>
    <w:rsid w:val="00DB40C4"/>
    <w:rsid w:val="00DB431C"/>
    <w:rsid w:val="00DB4526"/>
    <w:rsid w:val="00DB4825"/>
    <w:rsid w:val="00DB48AE"/>
    <w:rsid w:val="00DB48C0"/>
    <w:rsid w:val="00DB490D"/>
    <w:rsid w:val="00DB4BC1"/>
    <w:rsid w:val="00DB4C40"/>
    <w:rsid w:val="00DB4F7F"/>
    <w:rsid w:val="00DB519F"/>
    <w:rsid w:val="00DB5520"/>
    <w:rsid w:val="00DB57CA"/>
    <w:rsid w:val="00DB57E3"/>
    <w:rsid w:val="00DB59BA"/>
    <w:rsid w:val="00DB5B07"/>
    <w:rsid w:val="00DB5B86"/>
    <w:rsid w:val="00DB5BFB"/>
    <w:rsid w:val="00DB5CC1"/>
    <w:rsid w:val="00DB5CDC"/>
    <w:rsid w:val="00DB5E57"/>
    <w:rsid w:val="00DB5FCD"/>
    <w:rsid w:val="00DB600C"/>
    <w:rsid w:val="00DB612A"/>
    <w:rsid w:val="00DB61FE"/>
    <w:rsid w:val="00DB6321"/>
    <w:rsid w:val="00DB6731"/>
    <w:rsid w:val="00DB6827"/>
    <w:rsid w:val="00DB6862"/>
    <w:rsid w:val="00DB688F"/>
    <w:rsid w:val="00DB6A19"/>
    <w:rsid w:val="00DB6AC9"/>
    <w:rsid w:val="00DB6BDC"/>
    <w:rsid w:val="00DB6C54"/>
    <w:rsid w:val="00DB6DA3"/>
    <w:rsid w:val="00DB6F8F"/>
    <w:rsid w:val="00DB7049"/>
    <w:rsid w:val="00DB7312"/>
    <w:rsid w:val="00DB77B2"/>
    <w:rsid w:val="00DB7855"/>
    <w:rsid w:val="00DB797A"/>
    <w:rsid w:val="00DB7A55"/>
    <w:rsid w:val="00DB7A77"/>
    <w:rsid w:val="00DB7AF4"/>
    <w:rsid w:val="00DB7B2B"/>
    <w:rsid w:val="00DB7F50"/>
    <w:rsid w:val="00DC0262"/>
    <w:rsid w:val="00DC05D1"/>
    <w:rsid w:val="00DC08A6"/>
    <w:rsid w:val="00DC08F8"/>
    <w:rsid w:val="00DC0B1F"/>
    <w:rsid w:val="00DC0B3E"/>
    <w:rsid w:val="00DC0DC5"/>
    <w:rsid w:val="00DC0DCB"/>
    <w:rsid w:val="00DC0EFD"/>
    <w:rsid w:val="00DC10D7"/>
    <w:rsid w:val="00DC1113"/>
    <w:rsid w:val="00DC12AB"/>
    <w:rsid w:val="00DC15A8"/>
    <w:rsid w:val="00DC1666"/>
    <w:rsid w:val="00DC175D"/>
    <w:rsid w:val="00DC179A"/>
    <w:rsid w:val="00DC1933"/>
    <w:rsid w:val="00DC1AD4"/>
    <w:rsid w:val="00DC1E43"/>
    <w:rsid w:val="00DC1F86"/>
    <w:rsid w:val="00DC2064"/>
    <w:rsid w:val="00DC2135"/>
    <w:rsid w:val="00DC2146"/>
    <w:rsid w:val="00DC238C"/>
    <w:rsid w:val="00DC25F7"/>
    <w:rsid w:val="00DC2895"/>
    <w:rsid w:val="00DC2BE0"/>
    <w:rsid w:val="00DC2DB5"/>
    <w:rsid w:val="00DC2FBA"/>
    <w:rsid w:val="00DC3052"/>
    <w:rsid w:val="00DC30E9"/>
    <w:rsid w:val="00DC30EF"/>
    <w:rsid w:val="00DC310A"/>
    <w:rsid w:val="00DC32B0"/>
    <w:rsid w:val="00DC330F"/>
    <w:rsid w:val="00DC3749"/>
    <w:rsid w:val="00DC386E"/>
    <w:rsid w:val="00DC3B2C"/>
    <w:rsid w:val="00DC3B59"/>
    <w:rsid w:val="00DC3B86"/>
    <w:rsid w:val="00DC3D82"/>
    <w:rsid w:val="00DC3F70"/>
    <w:rsid w:val="00DC401A"/>
    <w:rsid w:val="00DC4077"/>
    <w:rsid w:val="00DC4868"/>
    <w:rsid w:val="00DC487E"/>
    <w:rsid w:val="00DC4885"/>
    <w:rsid w:val="00DC48C7"/>
    <w:rsid w:val="00DC4D04"/>
    <w:rsid w:val="00DC4D55"/>
    <w:rsid w:val="00DC5067"/>
    <w:rsid w:val="00DC50F3"/>
    <w:rsid w:val="00DC510E"/>
    <w:rsid w:val="00DC55BC"/>
    <w:rsid w:val="00DC5834"/>
    <w:rsid w:val="00DC5BD1"/>
    <w:rsid w:val="00DC5C44"/>
    <w:rsid w:val="00DC5F7C"/>
    <w:rsid w:val="00DC5FA8"/>
    <w:rsid w:val="00DC6041"/>
    <w:rsid w:val="00DC63BF"/>
    <w:rsid w:val="00DC671A"/>
    <w:rsid w:val="00DC696F"/>
    <w:rsid w:val="00DC6BCD"/>
    <w:rsid w:val="00DC6BF1"/>
    <w:rsid w:val="00DC6FB4"/>
    <w:rsid w:val="00DC73BA"/>
    <w:rsid w:val="00DC74E9"/>
    <w:rsid w:val="00DC7523"/>
    <w:rsid w:val="00DC7531"/>
    <w:rsid w:val="00DC76F8"/>
    <w:rsid w:val="00DC79A5"/>
    <w:rsid w:val="00DC7A45"/>
    <w:rsid w:val="00DC7AD9"/>
    <w:rsid w:val="00DC7CE4"/>
    <w:rsid w:val="00DC7DCC"/>
    <w:rsid w:val="00DD02AC"/>
    <w:rsid w:val="00DD0355"/>
    <w:rsid w:val="00DD0547"/>
    <w:rsid w:val="00DD055C"/>
    <w:rsid w:val="00DD0590"/>
    <w:rsid w:val="00DD0801"/>
    <w:rsid w:val="00DD08B6"/>
    <w:rsid w:val="00DD08CD"/>
    <w:rsid w:val="00DD0A0E"/>
    <w:rsid w:val="00DD0A35"/>
    <w:rsid w:val="00DD0AF6"/>
    <w:rsid w:val="00DD0B6B"/>
    <w:rsid w:val="00DD0CFE"/>
    <w:rsid w:val="00DD0D2B"/>
    <w:rsid w:val="00DD106E"/>
    <w:rsid w:val="00DD112E"/>
    <w:rsid w:val="00DD11D3"/>
    <w:rsid w:val="00DD140A"/>
    <w:rsid w:val="00DD1473"/>
    <w:rsid w:val="00DD1679"/>
    <w:rsid w:val="00DD1687"/>
    <w:rsid w:val="00DD16A4"/>
    <w:rsid w:val="00DD16A6"/>
    <w:rsid w:val="00DD1757"/>
    <w:rsid w:val="00DD1DF6"/>
    <w:rsid w:val="00DD2146"/>
    <w:rsid w:val="00DD223B"/>
    <w:rsid w:val="00DD2537"/>
    <w:rsid w:val="00DD2820"/>
    <w:rsid w:val="00DD29B9"/>
    <w:rsid w:val="00DD2CA2"/>
    <w:rsid w:val="00DD2E14"/>
    <w:rsid w:val="00DD3158"/>
    <w:rsid w:val="00DD317B"/>
    <w:rsid w:val="00DD320A"/>
    <w:rsid w:val="00DD3253"/>
    <w:rsid w:val="00DD3724"/>
    <w:rsid w:val="00DD381D"/>
    <w:rsid w:val="00DD3BFC"/>
    <w:rsid w:val="00DD3FB9"/>
    <w:rsid w:val="00DD3FC8"/>
    <w:rsid w:val="00DD402C"/>
    <w:rsid w:val="00DD40FE"/>
    <w:rsid w:val="00DD42AB"/>
    <w:rsid w:val="00DD45D3"/>
    <w:rsid w:val="00DD4669"/>
    <w:rsid w:val="00DD4762"/>
    <w:rsid w:val="00DD47A1"/>
    <w:rsid w:val="00DD48D7"/>
    <w:rsid w:val="00DD496F"/>
    <w:rsid w:val="00DD49CC"/>
    <w:rsid w:val="00DD4ABB"/>
    <w:rsid w:val="00DD4D1B"/>
    <w:rsid w:val="00DD4E0A"/>
    <w:rsid w:val="00DD51B5"/>
    <w:rsid w:val="00DD52D9"/>
    <w:rsid w:val="00DD54F4"/>
    <w:rsid w:val="00DD56D0"/>
    <w:rsid w:val="00DD57F9"/>
    <w:rsid w:val="00DD5865"/>
    <w:rsid w:val="00DD58A4"/>
    <w:rsid w:val="00DD59CF"/>
    <w:rsid w:val="00DD5C88"/>
    <w:rsid w:val="00DD5CE4"/>
    <w:rsid w:val="00DD609C"/>
    <w:rsid w:val="00DD61B7"/>
    <w:rsid w:val="00DD62D0"/>
    <w:rsid w:val="00DD63AD"/>
    <w:rsid w:val="00DD6786"/>
    <w:rsid w:val="00DD68A3"/>
    <w:rsid w:val="00DD68D1"/>
    <w:rsid w:val="00DD6962"/>
    <w:rsid w:val="00DD69C2"/>
    <w:rsid w:val="00DD6B3E"/>
    <w:rsid w:val="00DD6B79"/>
    <w:rsid w:val="00DD6E8A"/>
    <w:rsid w:val="00DD70A4"/>
    <w:rsid w:val="00DD753A"/>
    <w:rsid w:val="00DD75A6"/>
    <w:rsid w:val="00DD7652"/>
    <w:rsid w:val="00DD77CC"/>
    <w:rsid w:val="00DD783C"/>
    <w:rsid w:val="00DD797B"/>
    <w:rsid w:val="00DD7D9F"/>
    <w:rsid w:val="00DD7DFC"/>
    <w:rsid w:val="00DD7E7F"/>
    <w:rsid w:val="00DE01E9"/>
    <w:rsid w:val="00DE033D"/>
    <w:rsid w:val="00DE04E8"/>
    <w:rsid w:val="00DE063F"/>
    <w:rsid w:val="00DE0AA0"/>
    <w:rsid w:val="00DE0AAF"/>
    <w:rsid w:val="00DE0AD1"/>
    <w:rsid w:val="00DE0AF7"/>
    <w:rsid w:val="00DE0B12"/>
    <w:rsid w:val="00DE0B6F"/>
    <w:rsid w:val="00DE0C61"/>
    <w:rsid w:val="00DE1026"/>
    <w:rsid w:val="00DE1157"/>
    <w:rsid w:val="00DE13EC"/>
    <w:rsid w:val="00DE149A"/>
    <w:rsid w:val="00DE14A3"/>
    <w:rsid w:val="00DE156A"/>
    <w:rsid w:val="00DE1591"/>
    <w:rsid w:val="00DE1628"/>
    <w:rsid w:val="00DE1650"/>
    <w:rsid w:val="00DE1678"/>
    <w:rsid w:val="00DE16F3"/>
    <w:rsid w:val="00DE17E6"/>
    <w:rsid w:val="00DE1A90"/>
    <w:rsid w:val="00DE1AFD"/>
    <w:rsid w:val="00DE1C67"/>
    <w:rsid w:val="00DE1E9A"/>
    <w:rsid w:val="00DE1F0E"/>
    <w:rsid w:val="00DE206B"/>
    <w:rsid w:val="00DE207E"/>
    <w:rsid w:val="00DE2097"/>
    <w:rsid w:val="00DE23F5"/>
    <w:rsid w:val="00DE2483"/>
    <w:rsid w:val="00DE2540"/>
    <w:rsid w:val="00DE25BE"/>
    <w:rsid w:val="00DE2724"/>
    <w:rsid w:val="00DE280B"/>
    <w:rsid w:val="00DE287F"/>
    <w:rsid w:val="00DE28D9"/>
    <w:rsid w:val="00DE28FA"/>
    <w:rsid w:val="00DE2A7E"/>
    <w:rsid w:val="00DE2F9F"/>
    <w:rsid w:val="00DE2FE3"/>
    <w:rsid w:val="00DE30E5"/>
    <w:rsid w:val="00DE3360"/>
    <w:rsid w:val="00DE33E6"/>
    <w:rsid w:val="00DE3719"/>
    <w:rsid w:val="00DE37BC"/>
    <w:rsid w:val="00DE3854"/>
    <w:rsid w:val="00DE3881"/>
    <w:rsid w:val="00DE3EDC"/>
    <w:rsid w:val="00DE40FA"/>
    <w:rsid w:val="00DE4170"/>
    <w:rsid w:val="00DE43F3"/>
    <w:rsid w:val="00DE44CE"/>
    <w:rsid w:val="00DE44FE"/>
    <w:rsid w:val="00DE4544"/>
    <w:rsid w:val="00DE46BA"/>
    <w:rsid w:val="00DE48F0"/>
    <w:rsid w:val="00DE494C"/>
    <w:rsid w:val="00DE495D"/>
    <w:rsid w:val="00DE4A46"/>
    <w:rsid w:val="00DE4AEC"/>
    <w:rsid w:val="00DE4C10"/>
    <w:rsid w:val="00DE4EF7"/>
    <w:rsid w:val="00DE5003"/>
    <w:rsid w:val="00DE509B"/>
    <w:rsid w:val="00DE50E6"/>
    <w:rsid w:val="00DE5640"/>
    <w:rsid w:val="00DE5859"/>
    <w:rsid w:val="00DE5AFB"/>
    <w:rsid w:val="00DE5B5B"/>
    <w:rsid w:val="00DE5C66"/>
    <w:rsid w:val="00DE5CD5"/>
    <w:rsid w:val="00DE6074"/>
    <w:rsid w:val="00DE6142"/>
    <w:rsid w:val="00DE615B"/>
    <w:rsid w:val="00DE629C"/>
    <w:rsid w:val="00DE63AB"/>
    <w:rsid w:val="00DE63E0"/>
    <w:rsid w:val="00DE6424"/>
    <w:rsid w:val="00DE6651"/>
    <w:rsid w:val="00DE66A8"/>
    <w:rsid w:val="00DE674C"/>
    <w:rsid w:val="00DE6863"/>
    <w:rsid w:val="00DE69BE"/>
    <w:rsid w:val="00DE6A46"/>
    <w:rsid w:val="00DE6A7C"/>
    <w:rsid w:val="00DE6B1E"/>
    <w:rsid w:val="00DE6B77"/>
    <w:rsid w:val="00DE6EE2"/>
    <w:rsid w:val="00DE7233"/>
    <w:rsid w:val="00DE72B0"/>
    <w:rsid w:val="00DE72DF"/>
    <w:rsid w:val="00DE7327"/>
    <w:rsid w:val="00DE73F0"/>
    <w:rsid w:val="00DE74DC"/>
    <w:rsid w:val="00DE77F2"/>
    <w:rsid w:val="00DE782F"/>
    <w:rsid w:val="00DE786B"/>
    <w:rsid w:val="00DE7A62"/>
    <w:rsid w:val="00DE7BBD"/>
    <w:rsid w:val="00DE7BE4"/>
    <w:rsid w:val="00DE7C5B"/>
    <w:rsid w:val="00DE7C63"/>
    <w:rsid w:val="00DE7D10"/>
    <w:rsid w:val="00DE7E5F"/>
    <w:rsid w:val="00DF0089"/>
    <w:rsid w:val="00DF019B"/>
    <w:rsid w:val="00DF023B"/>
    <w:rsid w:val="00DF0334"/>
    <w:rsid w:val="00DF035A"/>
    <w:rsid w:val="00DF040B"/>
    <w:rsid w:val="00DF042D"/>
    <w:rsid w:val="00DF0454"/>
    <w:rsid w:val="00DF04F5"/>
    <w:rsid w:val="00DF04F7"/>
    <w:rsid w:val="00DF05FC"/>
    <w:rsid w:val="00DF0673"/>
    <w:rsid w:val="00DF088E"/>
    <w:rsid w:val="00DF09FE"/>
    <w:rsid w:val="00DF0BBD"/>
    <w:rsid w:val="00DF0CA1"/>
    <w:rsid w:val="00DF0E95"/>
    <w:rsid w:val="00DF0E99"/>
    <w:rsid w:val="00DF0F5F"/>
    <w:rsid w:val="00DF0F8F"/>
    <w:rsid w:val="00DF1532"/>
    <w:rsid w:val="00DF1830"/>
    <w:rsid w:val="00DF184D"/>
    <w:rsid w:val="00DF18B7"/>
    <w:rsid w:val="00DF1ADF"/>
    <w:rsid w:val="00DF1BBA"/>
    <w:rsid w:val="00DF1D2A"/>
    <w:rsid w:val="00DF1E7E"/>
    <w:rsid w:val="00DF20AD"/>
    <w:rsid w:val="00DF21EE"/>
    <w:rsid w:val="00DF21F5"/>
    <w:rsid w:val="00DF26D7"/>
    <w:rsid w:val="00DF2881"/>
    <w:rsid w:val="00DF28F2"/>
    <w:rsid w:val="00DF295E"/>
    <w:rsid w:val="00DF2B7E"/>
    <w:rsid w:val="00DF2C68"/>
    <w:rsid w:val="00DF2CDD"/>
    <w:rsid w:val="00DF2F7D"/>
    <w:rsid w:val="00DF3161"/>
    <w:rsid w:val="00DF322A"/>
    <w:rsid w:val="00DF3260"/>
    <w:rsid w:val="00DF33A7"/>
    <w:rsid w:val="00DF3443"/>
    <w:rsid w:val="00DF3531"/>
    <w:rsid w:val="00DF3610"/>
    <w:rsid w:val="00DF375D"/>
    <w:rsid w:val="00DF384D"/>
    <w:rsid w:val="00DF3892"/>
    <w:rsid w:val="00DF3916"/>
    <w:rsid w:val="00DF3A0A"/>
    <w:rsid w:val="00DF3DBA"/>
    <w:rsid w:val="00DF3EEF"/>
    <w:rsid w:val="00DF3F02"/>
    <w:rsid w:val="00DF3F9E"/>
    <w:rsid w:val="00DF4009"/>
    <w:rsid w:val="00DF40C8"/>
    <w:rsid w:val="00DF41F3"/>
    <w:rsid w:val="00DF43C2"/>
    <w:rsid w:val="00DF4486"/>
    <w:rsid w:val="00DF451A"/>
    <w:rsid w:val="00DF47E8"/>
    <w:rsid w:val="00DF4877"/>
    <w:rsid w:val="00DF48F5"/>
    <w:rsid w:val="00DF49DD"/>
    <w:rsid w:val="00DF49FA"/>
    <w:rsid w:val="00DF4B2C"/>
    <w:rsid w:val="00DF4B8F"/>
    <w:rsid w:val="00DF4F62"/>
    <w:rsid w:val="00DF50DC"/>
    <w:rsid w:val="00DF5139"/>
    <w:rsid w:val="00DF5140"/>
    <w:rsid w:val="00DF514D"/>
    <w:rsid w:val="00DF5260"/>
    <w:rsid w:val="00DF536B"/>
    <w:rsid w:val="00DF53B8"/>
    <w:rsid w:val="00DF54D2"/>
    <w:rsid w:val="00DF554E"/>
    <w:rsid w:val="00DF56DB"/>
    <w:rsid w:val="00DF5882"/>
    <w:rsid w:val="00DF58F9"/>
    <w:rsid w:val="00DF59F6"/>
    <w:rsid w:val="00DF5C15"/>
    <w:rsid w:val="00DF5D7F"/>
    <w:rsid w:val="00DF5E49"/>
    <w:rsid w:val="00DF5E53"/>
    <w:rsid w:val="00DF5E67"/>
    <w:rsid w:val="00DF5F00"/>
    <w:rsid w:val="00DF5F30"/>
    <w:rsid w:val="00DF6003"/>
    <w:rsid w:val="00DF6161"/>
    <w:rsid w:val="00DF6593"/>
    <w:rsid w:val="00DF6621"/>
    <w:rsid w:val="00DF66D6"/>
    <w:rsid w:val="00DF684B"/>
    <w:rsid w:val="00DF6864"/>
    <w:rsid w:val="00DF6B5C"/>
    <w:rsid w:val="00DF6C58"/>
    <w:rsid w:val="00DF6CAC"/>
    <w:rsid w:val="00DF6D15"/>
    <w:rsid w:val="00DF6D6E"/>
    <w:rsid w:val="00DF6D98"/>
    <w:rsid w:val="00DF6F96"/>
    <w:rsid w:val="00DF70C8"/>
    <w:rsid w:val="00DF70E8"/>
    <w:rsid w:val="00DF7174"/>
    <w:rsid w:val="00DF71BC"/>
    <w:rsid w:val="00DF7246"/>
    <w:rsid w:val="00DF7482"/>
    <w:rsid w:val="00DF7541"/>
    <w:rsid w:val="00DF7650"/>
    <w:rsid w:val="00DF79D4"/>
    <w:rsid w:val="00DF7B64"/>
    <w:rsid w:val="00E00254"/>
    <w:rsid w:val="00E002BE"/>
    <w:rsid w:val="00E006CB"/>
    <w:rsid w:val="00E00816"/>
    <w:rsid w:val="00E00A59"/>
    <w:rsid w:val="00E00BC8"/>
    <w:rsid w:val="00E00D0D"/>
    <w:rsid w:val="00E00D61"/>
    <w:rsid w:val="00E00D97"/>
    <w:rsid w:val="00E01102"/>
    <w:rsid w:val="00E0115C"/>
    <w:rsid w:val="00E0124D"/>
    <w:rsid w:val="00E016DD"/>
    <w:rsid w:val="00E017F9"/>
    <w:rsid w:val="00E0181F"/>
    <w:rsid w:val="00E018C7"/>
    <w:rsid w:val="00E01969"/>
    <w:rsid w:val="00E01A10"/>
    <w:rsid w:val="00E01BA0"/>
    <w:rsid w:val="00E01BED"/>
    <w:rsid w:val="00E01CAD"/>
    <w:rsid w:val="00E01DF8"/>
    <w:rsid w:val="00E01E38"/>
    <w:rsid w:val="00E01F1B"/>
    <w:rsid w:val="00E01F24"/>
    <w:rsid w:val="00E01F35"/>
    <w:rsid w:val="00E02170"/>
    <w:rsid w:val="00E0257B"/>
    <w:rsid w:val="00E0258A"/>
    <w:rsid w:val="00E0275F"/>
    <w:rsid w:val="00E0280B"/>
    <w:rsid w:val="00E0281C"/>
    <w:rsid w:val="00E02A27"/>
    <w:rsid w:val="00E02C88"/>
    <w:rsid w:val="00E02D99"/>
    <w:rsid w:val="00E02E0C"/>
    <w:rsid w:val="00E02EBA"/>
    <w:rsid w:val="00E02FC9"/>
    <w:rsid w:val="00E031C3"/>
    <w:rsid w:val="00E031FD"/>
    <w:rsid w:val="00E032DE"/>
    <w:rsid w:val="00E0357E"/>
    <w:rsid w:val="00E035E6"/>
    <w:rsid w:val="00E037C9"/>
    <w:rsid w:val="00E03981"/>
    <w:rsid w:val="00E03A38"/>
    <w:rsid w:val="00E03B0F"/>
    <w:rsid w:val="00E03B5A"/>
    <w:rsid w:val="00E03CC5"/>
    <w:rsid w:val="00E03EA1"/>
    <w:rsid w:val="00E03FBD"/>
    <w:rsid w:val="00E0426F"/>
    <w:rsid w:val="00E043E2"/>
    <w:rsid w:val="00E044A5"/>
    <w:rsid w:val="00E045B1"/>
    <w:rsid w:val="00E047FE"/>
    <w:rsid w:val="00E048E6"/>
    <w:rsid w:val="00E049A5"/>
    <w:rsid w:val="00E04B0B"/>
    <w:rsid w:val="00E04B4C"/>
    <w:rsid w:val="00E04CE5"/>
    <w:rsid w:val="00E04CE9"/>
    <w:rsid w:val="00E04D27"/>
    <w:rsid w:val="00E04F61"/>
    <w:rsid w:val="00E05037"/>
    <w:rsid w:val="00E0534F"/>
    <w:rsid w:val="00E05505"/>
    <w:rsid w:val="00E0551C"/>
    <w:rsid w:val="00E05931"/>
    <w:rsid w:val="00E05A4B"/>
    <w:rsid w:val="00E05A88"/>
    <w:rsid w:val="00E05AEB"/>
    <w:rsid w:val="00E05B47"/>
    <w:rsid w:val="00E05D48"/>
    <w:rsid w:val="00E05D93"/>
    <w:rsid w:val="00E05E06"/>
    <w:rsid w:val="00E060C3"/>
    <w:rsid w:val="00E06116"/>
    <w:rsid w:val="00E061B1"/>
    <w:rsid w:val="00E0621B"/>
    <w:rsid w:val="00E062C7"/>
    <w:rsid w:val="00E065E9"/>
    <w:rsid w:val="00E068BC"/>
    <w:rsid w:val="00E06951"/>
    <w:rsid w:val="00E06CAF"/>
    <w:rsid w:val="00E06D26"/>
    <w:rsid w:val="00E06F95"/>
    <w:rsid w:val="00E06FA6"/>
    <w:rsid w:val="00E06FCB"/>
    <w:rsid w:val="00E06FEB"/>
    <w:rsid w:val="00E06FEC"/>
    <w:rsid w:val="00E07057"/>
    <w:rsid w:val="00E07480"/>
    <w:rsid w:val="00E074FD"/>
    <w:rsid w:val="00E07828"/>
    <w:rsid w:val="00E07967"/>
    <w:rsid w:val="00E07B44"/>
    <w:rsid w:val="00E07B61"/>
    <w:rsid w:val="00E07D83"/>
    <w:rsid w:val="00E07DE9"/>
    <w:rsid w:val="00E07E46"/>
    <w:rsid w:val="00E10059"/>
    <w:rsid w:val="00E10196"/>
    <w:rsid w:val="00E102A4"/>
    <w:rsid w:val="00E1074D"/>
    <w:rsid w:val="00E1089F"/>
    <w:rsid w:val="00E10A1D"/>
    <w:rsid w:val="00E10B18"/>
    <w:rsid w:val="00E10BE0"/>
    <w:rsid w:val="00E10DDF"/>
    <w:rsid w:val="00E10FDA"/>
    <w:rsid w:val="00E11046"/>
    <w:rsid w:val="00E111C3"/>
    <w:rsid w:val="00E1152E"/>
    <w:rsid w:val="00E1152F"/>
    <w:rsid w:val="00E116AD"/>
    <w:rsid w:val="00E117CD"/>
    <w:rsid w:val="00E1181B"/>
    <w:rsid w:val="00E11AB9"/>
    <w:rsid w:val="00E11B1C"/>
    <w:rsid w:val="00E11B2E"/>
    <w:rsid w:val="00E11C8A"/>
    <w:rsid w:val="00E11F46"/>
    <w:rsid w:val="00E11F9B"/>
    <w:rsid w:val="00E12061"/>
    <w:rsid w:val="00E121C2"/>
    <w:rsid w:val="00E12217"/>
    <w:rsid w:val="00E12507"/>
    <w:rsid w:val="00E1279B"/>
    <w:rsid w:val="00E12884"/>
    <w:rsid w:val="00E12AF9"/>
    <w:rsid w:val="00E12BBE"/>
    <w:rsid w:val="00E12C98"/>
    <w:rsid w:val="00E12F40"/>
    <w:rsid w:val="00E12F76"/>
    <w:rsid w:val="00E130CB"/>
    <w:rsid w:val="00E132D2"/>
    <w:rsid w:val="00E133D4"/>
    <w:rsid w:val="00E135D2"/>
    <w:rsid w:val="00E13687"/>
    <w:rsid w:val="00E136AA"/>
    <w:rsid w:val="00E1387C"/>
    <w:rsid w:val="00E139A3"/>
    <w:rsid w:val="00E13F2F"/>
    <w:rsid w:val="00E13FFD"/>
    <w:rsid w:val="00E1405D"/>
    <w:rsid w:val="00E1409A"/>
    <w:rsid w:val="00E14223"/>
    <w:rsid w:val="00E142C3"/>
    <w:rsid w:val="00E142DD"/>
    <w:rsid w:val="00E14540"/>
    <w:rsid w:val="00E14774"/>
    <w:rsid w:val="00E14894"/>
    <w:rsid w:val="00E14B7F"/>
    <w:rsid w:val="00E155AA"/>
    <w:rsid w:val="00E159CF"/>
    <w:rsid w:val="00E15A3B"/>
    <w:rsid w:val="00E15AA3"/>
    <w:rsid w:val="00E15D83"/>
    <w:rsid w:val="00E15FE3"/>
    <w:rsid w:val="00E162DA"/>
    <w:rsid w:val="00E163C8"/>
    <w:rsid w:val="00E1689F"/>
    <w:rsid w:val="00E16A31"/>
    <w:rsid w:val="00E16BAE"/>
    <w:rsid w:val="00E16BB9"/>
    <w:rsid w:val="00E16D90"/>
    <w:rsid w:val="00E16DB5"/>
    <w:rsid w:val="00E16F85"/>
    <w:rsid w:val="00E17081"/>
    <w:rsid w:val="00E170B9"/>
    <w:rsid w:val="00E1772C"/>
    <w:rsid w:val="00E17A9D"/>
    <w:rsid w:val="00E17F29"/>
    <w:rsid w:val="00E20091"/>
    <w:rsid w:val="00E20204"/>
    <w:rsid w:val="00E20210"/>
    <w:rsid w:val="00E205C5"/>
    <w:rsid w:val="00E2067F"/>
    <w:rsid w:val="00E2073B"/>
    <w:rsid w:val="00E207A2"/>
    <w:rsid w:val="00E20C77"/>
    <w:rsid w:val="00E20CCC"/>
    <w:rsid w:val="00E20D35"/>
    <w:rsid w:val="00E20E30"/>
    <w:rsid w:val="00E20E6D"/>
    <w:rsid w:val="00E21015"/>
    <w:rsid w:val="00E2104C"/>
    <w:rsid w:val="00E210C0"/>
    <w:rsid w:val="00E2130D"/>
    <w:rsid w:val="00E214F4"/>
    <w:rsid w:val="00E215D2"/>
    <w:rsid w:val="00E216D1"/>
    <w:rsid w:val="00E21700"/>
    <w:rsid w:val="00E21A23"/>
    <w:rsid w:val="00E21A8F"/>
    <w:rsid w:val="00E21C5E"/>
    <w:rsid w:val="00E21DAE"/>
    <w:rsid w:val="00E225AE"/>
    <w:rsid w:val="00E225F0"/>
    <w:rsid w:val="00E22903"/>
    <w:rsid w:val="00E22ACE"/>
    <w:rsid w:val="00E22AD5"/>
    <w:rsid w:val="00E22BD2"/>
    <w:rsid w:val="00E22C7A"/>
    <w:rsid w:val="00E22DC9"/>
    <w:rsid w:val="00E230CD"/>
    <w:rsid w:val="00E230DA"/>
    <w:rsid w:val="00E2319A"/>
    <w:rsid w:val="00E232CE"/>
    <w:rsid w:val="00E23363"/>
    <w:rsid w:val="00E23478"/>
    <w:rsid w:val="00E23633"/>
    <w:rsid w:val="00E2370B"/>
    <w:rsid w:val="00E23781"/>
    <w:rsid w:val="00E237A9"/>
    <w:rsid w:val="00E238C9"/>
    <w:rsid w:val="00E23C38"/>
    <w:rsid w:val="00E23E67"/>
    <w:rsid w:val="00E2406A"/>
    <w:rsid w:val="00E24272"/>
    <w:rsid w:val="00E242C0"/>
    <w:rsid w:val="00E2463A"/>
    <w:rsid w:val="00E2469A"/>
    <w:rsid w:val="00E246E6"/>
    <w:rsid w:val="00E24748"/>
    <w:rsid w:val="00E248D5"/>
    <w:rsid w:val="00E24C6B"/>
    <w:rsid w:val="00E24D05"/>
    <w:rsid w:val="00E24D08"/>
    <w:rsid w:val="00E24D49"/>
    <w:rsid w:val="00E24EBC"/>
    <w:rsid w:val="00E2502D"/>
    <w:rsid w:val="00E25082"/>
    <w:rsid w:val="00E250D0"/>
    <w:rsid w:val="00E25309"/>
    <w:rsid w:val="00E2549E"/>
    <w:rsid w:val="00E25810"/>
    <w:rsid w:val="00E2582C"/>
    <w:rsid w:val="00E25909"/>
    <w:rsid w:val="00E25B24"/>
    <w:rsid w:val="00E25E25"/>
    <w:rsid w:val="00E25EB1"/>
    <w:rsid w:val="00E25F1E"/>
    <w:rsid w:val="00E2605B"/>
    <w:rsid w:val="00E2606E"/>
    <w:rsid w:val="00E26088"/>
    <w:rsid w:val="00E264D6"/>
    <w:rsid w:val="00E26560"/>
    <w:rsid w:val="00E267ED"/>
    <w:rsid w:val="00E2686F"/>
    <w:rsid w:val="00E26C1E"/>
    <w:rsid w:val="00E26C54"/>
    <w:rsid w:val="00E26C97"/>
    <w:rsid w:val="00E26D4D"/>
    <w:rsid w:val="00E2701C"/>
    <w:rsid w:val="00E27058"/>
    <w:rsid w:val="00E270F3"/>
    <w:rsid w:val="00E2719E"/>
    <w:rsid w:val="00E272B2"/>
    <w:rsid w:val="00E27382"/>
    <w:rsid w:val="00E275B2"/>
    <w:rsid w:val="00E275DE"/>
    <w:rsid w:val="00E277BA"/>
    <w:rsid w:val="00E27B9F"/>
    <w:rsid w:val="00E27CE0"/>
    <w:rsid w:val="00E27D52"/>
    <w:rsid w:val="00E27E4E"/>
    <w:rsid w:val="00E27E4F"/>
    <w:rsid w:val="00E27E68"/>
    <w:rsid w:val="00E27E85"/>
    <w:rsid w:val="00E27F3A"/>
    <w:rsid w:val="00E30060"/>
    <w:rsid w:val="00E30388"/>
    <w:rsid w:val="00E30423"/>
    <w:rsid w:val="00E3047C"/>
    <w:rsid w:val="00E30516"/>
    <w:rsid w:val="00E30617"/>
    <w:rsid w:val="00E30782"/>
    <w:rsid w:val="00E30912"/>
    <w:rsid w:val="00E30A3B"/>
    <w:rsid w:val="00E30A5C"/>
    <w:rsid w:val="00E30B2A"/>
    <w:rsid w:val="00E30B65"/>
    <w:rsid w:val="00E30E5F"/>
    <w:rsid w:val="00E30F0A"/>
    <w:rsid w:val="00E30FE0"/>
    <w:rsid w:val="00E3110E"/>
    <w:rsid w:val="00E311C1"/>
    <w:rsid w:val="00E31248"/>
    <w:rsid w:val="00E312B0"/>
    <w:rsid w:val="00E3137A"/>
    <w:rsid w:val="00E3140C"/>
    <w:rsid w:val="00E31591"/>
    <w:rsid w:val="00E31592"/>
    <w:rsid w:val="00E31662"/>
    <w:rsid w:val="00E3196F"/>
    <w:rsid w:val="00E31ADA"/>
    <w:rsid w:val="00E31B88"/>
    <w:rsid w:val="00E31E3E"/>
    <w:rsid w:val="00E31E41"/>
    <w:rsid w:val="00E31FE6"/>
    <w:rsid w:val="00E3209D"/>
    <w:rsid w:val="00E32211"/>
    <w:rsid w:val="00E32254"/>
    <w:rsid w:val="00E323D4"/>
    <w:rsid w:val="00E32661"/>
    <w:rsid w:val="00E327A0"/>
    <w:rsid w:val="00E328CA"/>
    <w:rsid w:val="00E32AF5"/>
    <w:rsid w:val="00E32B86"/>
    <w:rsid w:val="00E32C42"/>
    <w:rsid w:val="00E32D6C"/>
    <w:rsid w:val="00E32EFC"/>
    <w:rsid w:val="00E32F5F"/>
    <w:rsid w:val="00E33384"/>
    <w:rsid w:val="00E33453"/>
    <w:rsid w:val="00E334B1"/>
    <w:rsid w:val="00E336FD"/>
    <w:rsid w:val="00E33855"/>
    <w:rsid w:val="00E338D8"/>
    <w:rsid w:val="00E3397F"/>
    <w:rsid w:val="00E33990"/>
    <w:rsid w:val="00E33A11"/>
    <w:rsid w:val="00E33B2F"/>
    <w:rsid w:val="00E33BCF"/>
    <w:rsid w:val="00E33D44"/>
    <w:rsid w:val="00E33DBD"/>
    <w:rsid w:val="00E33ED2"/>
    <w:rsid w:val="00E33EF7"/>
    <w:rsid w:val="00E33F71"/>
    <w:rsid w:val="00E34214"/>
    <w:rsid w:val="00E342D1"/>
    <w:rsid w:val="00E3448B"/>
    <w:rsid w:val="00E34682"/>
    <w:rsid w:val="00E346CA"/>
    <w:rsid w:val="00E3473B"/>
    <w:rsid w:val="00E347FC"/>
    <w:rsid w:val="00E3498D"/>
    <w:rsid w:val="00E34A5A"/>
    <w:rsid w:val="00E34AB4"/>
    <w:rsid w:val="00E34AD3"/>
    <w:rsid w:val="00E34EF5"/>
    <w:rsid w:val="00E34FDF"/>
    <w:rsid w:val="00E350D6"/>
    <w:rsid w:val="00E35155"/>
    <w:rsid w:val="00E35164"/>
    <w:rsid w:val="00E351DE"/>
    <w:rsid w:val="00E35533"/>
    <w:rsid w:val="00E3561B"/>
    <w:rsid w:val="00E3570F"/>
    <w:rsid w:val="00E3582C"/>
    <w:rsid w:val="00E3587D"/>
    <w:rsid w:val="00E3593A"/>
    <w:rsid w:val="00E3599C"/>
    <w:rsid w:val="00E35E4B"/>
    <w:rsid w:val="00E36070"/>
    <w:rsid w:val="00E36092"/>
    <w:rsid w:val="00E3622D"/>
    <w:rsid w:val="00E36308"/>
    <w:rsid w:val="00E363A0"/>
    <w:rsid w:val="00E364EB"/>
    <w:rsid w:val="00E367D0"/>
    <w:rsid w:val="00E36826"/>
    <w:rsid w:val="00E36C6D"/>
    <w:rsid w:val="00E36C84"/>
    <w:rsid w:val="00E36C9F"/>
    <w:rsid w:val="00E36D1D"/>
    <w:rsid w:val="00E370C3"/>
    <w:rsid w:val="00E370CC"/>
    <w:rsid w:val="00E37294"/>
    <w:rsid w:val="00E37368"/>
    <w:rsid w:val="00E373BC"/>
    <w:rsid w:val="00E37469"/>
    <w:rsid w:val="00E3770B"/>
    <w:rsid w:val="00E378CA"/>
    <w:rsid w:val="00E378E5"/>
    <w:rsid w:val="00E379C5"/>
    <w:rsid w:val="00E37C5D"/>
    <w:rsid w:val="00E37CF7"/>
    <w:rsid w:val="00E37E0F"/>
    <w:rsid w:val="00E37E5B"/>
    <w:rsid w:val="00E37FDE"/>
    <w:rsid w:val="00E4007C"/>
    <w:rsid w:val="00E400E0"/>
    <w:rsid w:val="00E400E7"/>
    <w:rsid w:val="00E4032B"/>
    <w:rsid w:val="00E404CD"/>
    <w:rsid w:val="00E40D90"/>
    <w:rsid w:val="00E41014"/>
    <w:rsid w:val="00E41022"/>
    <w:rsid w:val="00E4139F"/>
    <w:rsid w:val="00E416A9"/>
    <w:rsid w:val="00E41783"/>
    <w:rsid w:val="00E418A6"/>
    <w:rsid w:val="00E41A62"/>
    <w:rsid w:val="00E41CF6"/>
    <w:rsid w:val="00E41D7A"/>
    <w:rsid w:val="00E42045"/>
    <w:rsid w:val="00E42147"/>
    <w:rsid w:val="00E421C6"/>
    <w:rsid w:val="00E422A0"/>
    <w:rsid w:val="00E4231D"/>
    <w:rsid w:val="00E42392"/>
    <w:rsid w:val="00E423B2"/>
    <w:rsid w:val="00E4255D"/>
    <w:rsid w:val="00E4257A"/>
    <w:rsid w:val="00E42687"/>
    <w:rsid w:val="00E42861"/>
    <w:rsid w:val="00E4286B"/>
    <w:rsid w:val="00E428B4"/>
    <w:rsid w:val="00E42A5B"/>
    <w:rsid w:val="00E42ABE"/>
    <w:rsid w:val="00E42BD5"/>
    <w:rsid w:val="00E42C7B"/>
    <w:rsid w:val="00E42EA7"/>
    <w:rsid w:val="00E42FAC"/>
    <w:rsid w:val="00E430A3"/>
    <w:rsid w:val="00E43168"/>
    <w:rsid w:val="00E4328E"/>
    <w:rsid w:val="00E43385"/>
    <w:rsid w:val="00E433A4"/>
    <w:rsid w:val="00E43465"/>
    <w:rsid w:val="00E43708"/>
    <w:rsid w:val="00E437B9"/>
    <w:rsid w:val="00E43AE7"/>
    <w:rsid w:val="00E43C5E"/>
    <w:rsid w:val="00E43D62"/>
    <w:rsid w:val="00E43F1E"/>
    <w:rsid w:val="00E441E5"/>
    <w:rsid w:val="00E441EF"/>
    <w:rsid w:val="00E44228"/>
    <w:rsid w:val="00E44401"/>
    <w:rsid w:val="00E4457C"/>
    <w:rsid w:val="00E44841"/>
    <w:rsid w:val="00E4487A"/>
    <w:rsid w:val="00E448C2"/>
    <w:rsid w:val="00E44995"/>
    <w:rsid w:val="00E44A4C"/>
    <w:rsid w:val="00E44B34"/>
    <w:rsid w:val="00E44E70"/>
    <w:rsid w:val="00E44F5A"/>
    <w:rsid w:val="00E451E1"/>
    <w:rsid w:val="00E452AB"/>
    <w:rsid w:val="00E454EB"/>
    <w:rsid w:val="00E4579F"/>
    <w:rsid w:val="00E459B9"/>
    <w:rsid w:val="00E45AE1"/>
    <w:rsid w:val="00E45CBB"/>
    <w:rsid w:val="00E45E1F"/>
    <w:rsid w:val="00E4609C"/>
    <w:rsid w:val="00E46108"/>
    <w:rsid w:val="00E4627D"/>
    <w:rsid w:val="00E46434"/>
    <w:rsid w:val="00E4669C"/>
    <w:rsid w:val="00E466E8"/>
    <w:rsid w:val="00E467DD"/>
    <w:rsid w:val="00E4691B"/>
    <w:rsid w:val="00E4693D"/>
    <w:rsid w:val="00E46C7C"/>
    <w:rsid w:val="00E46F9F"/>
    <w:rsid w:val="00E47102"/>
    <w:rsid w:val="00E471DC"/>
    <w:rsid w:val="00E472EC"/>
    <w:rsid w:val="00E4731A"/>
    <w:rsid w:val="00E4732E"/>
    <w:rsid w:val="00E474C7"/>
    <w:rsid w:val="00E474CA"/>
    <w:rsid w:val="00E477E3"/>
    <w:rsid w:val="00E4784F"/>
    <w:rsid w:val="00E47913"/>
    <w:rsid w:val="00E47A14"/>
    <w:rsid w:val="00E47A36"/>
    <w:rsid w:val="00E47D89"/>
    <w:rsid w:val="00E47E3F"/>
    <w:rsid w:val="00E47F0A"/>
    <w:rsid w:val="00E5003B"/>
    <w:rsid w:val="00E50049"/>
    <w:rsid w:val="00E50203"/>
    <w:rsid w:val="00E504F3"/>
    <w:rsid w:val="00E507C5"/>
    <w:rsid w:val="00E50C5F"/>
    <w:rsid w:val="00E50EDA"/>
    <w:rsid w:val="00E51191"/>
    <w:rsid w:val="00E512D2"/>
    <w:rsid w:val="00E513D2"/>
    <w:rsid w:val="00E5168C"/>
    <w:rsid w:val="00E5175A"/>
    <w:rsid w:val="00E5175F"/>
    <w:rsid w:val="00E51826"/>
    <w:rsid w:val="00E5194D"/>
    <w:rsid w:val="00E51971"/>
    <w:rsid w:val="00E51C4F"/>
    <w:rsid w:val="00E51DD5"/>
    <w:rsid w:val="00E51F7D"/>
    <w:rsid w:val="00E51FAD"/>
    <w:rsid w:val="00E52072"/>
    <w:rsid w:val="00E520D2"/>
    <w:rsid w:val="00E5245B"/>
    <w:rsid w:val="00E52482"/>
    <w:rsid w:val="00E52B06"/>
    <w:rsid w:val="00E52BCB"/>
    <w:rsid w:val="00E52BF4"/>
    <w:rsid w:val="00E5300B"/>
    <w:rsid w:val="00E53061"/>
    <w:rsid w:val="00E530AD"/>
    <w:rsid w:val="00E53139"/>
    <w:rsid w:val="00E5321E"/>
    <w:rsid w:val="00E53231"/>
    <w:rsid w:val="00E53251"/>
    <w:rsid w:val="00E53283"/>
    <w:rsid w:val="00E533D2"/>
    <w:rsid w:val="00E5387C"/>
    <w:rsid w:val="00E538D9"/>
    <w:rsid w:val="00E53A4F"/>
    <w:rsid w:val="00E53ADD"/>
    <w:rsid w:val="00E53D51"/>
    <w:rsid w:val="00E53E85"/>
    <w:rsid w:val="00E540C9"/>
    <w:rsid w:val="00E5412C"/>
    <w:rsid w:val="00E54170"/>
    <w:rsid w:val="00E541C0"/>
    <w:rsid w:val="00E541FC"/>
    <w:rsid w:val="00E54216"/>
    <w:rsid w:val="00E5421F"/>
    <w:rsid w:val="00E544E3"/>
    <w:rsid w:val="00E545A7"/>
    <w:rsid w:val="00E545BD"/>
    <w:rsid w:val="00E54724"/>
    <w:rsid w:val="00E54808"/>
    <w:rsid w:val="00E54841"/>
    <w:rsid w:val="00E548FA"/>
    <w:rsid w:val="00E54964"/>
    <w:rsid w:val="00E549D1"/>
    <w:rsid w:val="00E54C92"/>
    <w:rsid w:val="00E54DFE"/>
    <w:rsid w:val="00E54E54"/>
    <w:rsid w:val="00E551CB"/>
    <w:rsid w:val="00E55668"/>
    <w:rsid w:val="00E55751"/>
    <w:rsid w:val="00E55831"/>
    <w:rsid w:val="00E55A78"/>
    <w:rsid w:val="00E55AFC"/>
    <w:rsid w:val="00E55C77"/>
    <w:rsid w:val="00E560A5"/>
    <w:rsid w:val="00E564EB"/>
    <w:rsid w:val="00E56698"/>
    <w:rsid w:val="00E5677B"/>
    <w:rsid w:val="00E56864"/>
    <w:rsid w:val="00E568D9"/>
    <w:rsid w:val="00E56AA8"/>
    <w:rsid w:val="00E56C32"/>
    <w:rsid w:val="00E5734E"/>
    <w:rsid w:val="00E575FA"/>
    <w:rsid w:val="00E57A25"/>
    <w:rsid w:val="00E57AF9"/>
    <w:rsid w:val="00E57B83"/>
    <w:rsid w:val="00E57BF8"/>
    <w:rsid w:val="00E57CC7"/>
    <w:rsid w:val="00E57D22"/>
    <w:rsid w:val="00E57D4B"/>
    <w:rsid w:val="00E57E36"/>
    <w:rsid w:val="00E600E6"/>
    <w:rsid w:val="00E604A5"/>
    <w:rsid w:val="00E605C7"/>
    <w:rsid w:val="00E60645"/>
    <w:rsid w:val="00E6072A"/>
    <w:rsid w:val="00E60834"/>
    <w:rsid w:val="00E60B23"/>
    <w:rsid w:val="00E60B45"/>
    <w:rsid w:val="00E60E8E"/>
    <w:rsid w:val="00E60EBA"/>
    <w:rsid w:val="00E60F39"/>
    <w:rsid w:val="00E60FBA"/>
    <w:rsid w:val="00E61191"/>
    <w:rsid w:val="00E612BF"/>
    <w:rsid w:val="00E61503"/>
    <w:rsid w:val="00E61A44"/>
    <w:rsid w:val="00E61A7F"/>
    <w:rsid w:val="00E61AC3"/>
    <w:rsid w:val="00E61C3B"/>
    <w:rsid w:val="00E61C8E"/>
    <w:rsid w:val="00E61DE3"/>
    <w:rsid w:val="00E62581"/>
    <w:rsid w:val="00E628A4"/>
    <w:rsid w:val="00E62983"/>
    <w:rsid w:val="00E62D58"/>
    <w:rsid w:val="00E62E2B"/>
    <w:rsid w:val="00E6305A"/>
    <w:rsid w:val="00E6378D"/>
    <w:rsid w:val="00E63960"/>
    <w:rsid w:val="00E63BCE"/>
    <w:rsid w:val="00E63BEB"/>
    <w:rsid w:val="00E63CC8"/>
    <w:rsid w:val="00E63DE4"/>
    <w:rsid w:val="00E63E8C"/>
    <w:rsid w:val="00E63FA8"/>
    <w:rsid w:val="00E640A1"/>
    <w:rsid w:val="00E640C8"/>
    <w:rsid w:val="00E640EF"/>
    <w:rsid w:val="00E64161"/>
    <w:rsid w:val="00E64280"/>
    <w:rsid w:val="00E642B6"/>
    <w:rsid w:val="00E642D8"/>
    <w:rsid w:val="00E64ACA"/>
    <w:rsid w:val="00E64C52"/>
    <w:rsid w:val="00E6508F"/>
    <w:rsid w:val="00E6556B"/>
    <w:rsid w:val="00E655A9"/>
    <w:rsid w:val="00E65937"/>
    <w:rsid w:val="00E65B52"/>
    <w:rsid w:val="00E65C96"/>
    <w:rsid w:val="00E65DA1"/>
    <w:rsid w:val="00E65DC0"/>
    <w:rsid w:val="00E65E8D"/>
    <w:rsid w:val="00E65E91"/>
    <w:rsid w:val="00E66184"/>
    <w:rsid w:val="00E661CD"/>
    <w:rsid w:val="00E66298"/>
    <w:rsid w:val="00E664E8"/>
    <w:rsid w:val="00E6651A"/>
    <w:rsid w:val="00E66532"/>
    <w:rsid w:val="00E665E4"/>
    <w:rsid w:val="00E6661C"/>
    <w:rsid w:val="00E666B6"/>
    <w:rsid w:val="00E66B14"/>
    <w:rsid w:val="00E66B5C"/>
    <w:rsid w:val="00E66C30"/>
    <w:rsid w:val="00E66D37"/>
    <w:rsid w:val="00E66F71"/>
    <w:rsid w:val="00E6700E"/>
    <w:rsid w:val="00E671BB"/>
    <w:rsid w:val="00E671DA"/>
    <w:rsid w:val="00E6761D"/>
    <w:rsid w:val="00E678F7"/>
    <w:rsid w:val="00E67999"/>
    <w:rsid w:val="00E67A0F"/>
    <w:rsid w:val="00E67A45"/>
    <w:rsid w:val="00E67BAF"/>
    <w:rsid w:val="00E67CBB"/>
    <w:rsid w:val="00E67F0D"/>
    <w:rsid w:val="00E67F44"/>
    <w:rsid w:val="00E67F82"/>
    <w:rsid w:val="00E7009E"/>
    <w:rsid w:val="00E7027C"/>
    <w:rsid w:val="00E704D6"/>
    <w:rsid w:val="00E706E2"/>
    <w:rsid w:val="00E70832"/>
    <w:rsid w:val="00E7089C"/>
    <w:rsid w:val="00E709D4"/>
    <w:rsid w:val="00E70AD5"/>
    <w:rsid w:val="00E70B9C"/>
    <w:rsid w:val="00E70BB1"/>
    <w:rsid w:val="00E70C32"/>
    <w:rsid w:val="00E70CA1"/>
    <w:rsid w:val="00E70CA8"/>
    <w:rsid w:val="00E70DE9"/>
    <w:rsid w:val="00E70E3A"/>
    <w:rsid w:val="00E711EE"/>
    <w:rsid w:val="00E71270"/>
    <w:rsid w:val="00E712ED"/>
    <w:rsid w:val="00E713D3"/>
    <w:rsid w:val="00E716C1"/>
    <w:rsid w:val="00E716C9"/>
    <w:rsid w:val="00E718F7"/>
    <w:rsid w:val="00E71940"/>
    <w:rsid w:val="00E71951"/>
    <w:rsid w:val="00E719DA"/>
    <w:rsid w:val="00E71C2A"/>
    <w:rsid w:val="00E71FCF"/>
    <w:rsid w:val="00E72184"/>
    <w:rsid w:val="00E72361"/>
    <w:rsid w:val="00E7238C"/>
    <w:rsid w:val="00E724CB"/>
    <w:rsid w:val="00E72646"/>
    <w:rsid w:val="00E729E6"/>
    <w:rsid w:val="00E72BD9"/>
    <w:rsid w:val="00E72D79"/>
    <w:rsid w:val="00E72E22"/>
    <w:rsid w:val="00E72FA2"/>
    <w:rsid w:val="00E72FCF"/>
    <w:rsid w:val="00E735D7"/>
    <w:rsid w:val="00E7361D"/>
    <w:rsid w:val="00E738A6"/>
    <w:rsid w:val="00E73ADA"/>
    <w:rsid w:val="00E73AE0"/>
    <w:rsid w:val="00E73DC5"/>
    <w:rsid w:val="00E73E16"/>
    <w:rsid w:val="00E73EFB"/>
    <w:rsid w:val="00E73F08"/>
    <w:rsid w:val="00E7400F"/>
    <w:rsid w:val="00E740ED"/>
    <w:rsid w:val="00E740EF"/>
    <w:rsid w:val="00E74109"/>
    <w:rsid w:val="00E7426E"/>
    <w:rsid w:val="00E742B7"/>
    <w:rsid w:val="00E74512"/>
    <w:rsid w:val="00E7463A"/>
    <w:rsid w:val="00E7492E"/>
    <w:rsid w:val="00E749B3"/>
    <w:rsid w:val="00E74E94"/>
    <w:rsid w:val="00E74F27"/>
    <w:rsid w:val="00E74F35"/>
    <w:rsid w:val="00E75101"/>
    <w:rsid w:val="00E7520C"/>
    <w:rsid w:val="00E753B8"/>
    <w:rsid w:val="00E75454"/>
    <w:rsid w:val="00E75545"/>
    <w:rsid w:val="00E75971"/>
    <w:rsid w:val="00E75B8E"/>
    <w:rsid w:val="00E75DD4"/>
    <w:rsid w:val="00E76545"/>
    <w:rsid w:val="00E7684E"/>
    <w:rsid w:val="00E768FE"/>
    <w:rsid w:val="00E76B60"/>
    <w:rsid w:val="00E76C46"/>
    <w:rsid w:val="00E76FB5"/>
    <w:rsid w:val="00E77043"/>
    <w:rsid w:val="00E77097"/>
    <w:rsid w:val="00E7728F"/>
    <w:rsid w:val="00E77297"/>
    <w:rsid w:val="00E772EC"/>
    <w:rsid w:val="00E772ED"/>
    <w:rsid w:val="00E77352"/>
    <w:rsid w:val="00E77BAB"/>
    <w:rsid w:val="00E77D81"/>
    <w:rsid w:val="00E77E02"/>
    <w:rsid w:val="00E77E84"/>
    <w:rsid w:val="00E77F1C"/>
    <w:rsid w:val="00E77FC9"/>
    <w:rsid w:val="00E8017B"/>
    <w:rsid w:val="00E802D8"/>
    <w:rsid w:val="00E803DF"/>
    <w:rsid w:val="00E80632"/>
    <w:rsid w:val="00E80751"/>
    <w:rsid w:val="00E80785"/>
    <w:rsid w:val="00E80850"/>
    <w:rsid w:val="00E80B60"/>
    <w:rsid w:val="00E80C6E"/>
    <w:rsid w:val="00E810DC"/>
    <w:rsid w:val="00E8112E"/>
    <w:rsid w:val="00E81264"/>
    <w:rsid w:val="00E812B3"/>
    <w:rsid w:val="00E812EB"/>
    <w:rsid w:val="00E81466"/>
    <w:rsid w:val="00E814FC"/>
    <w:rsid w:val="00E81529"/>
    <w:rsid w:val="00E8163B"/>
    <w:rsid w:val="00E817C5"/>
    <w:rsid w:val="00E818DC"/>
    <w:rsid w:val="00E818F9"/>
    <w:rsid w:val="00E81C9B"/>
    <w:rsid w:val="00E81D37"/>
    <w:rsid w:val="00E8208F"/>
    <w:rsid w:val="00E8209D"/>
    <w:rsid w:val="00E82188"/>
    <w:rsid w:val="00E822B7"/>
    <w:rsid w:val="00E825F1"/>
    <w:rsid w:val="00E827E8"/>
    <w:rsid w:val="00E8293E"/>
    <w:rsid w:val="00E82C1C"/>
    <w:rsid w:val="00E82C81"/>
    <w:rsid w:val="00E82CD0"/>
    <w:rsid w:val="00E82F13"/>
    <w:rsid w:val="00E830BD"/>
    <w:rsid w:val="00E83333"/>
    <w:rsid w:val="00E835A1"/>
    <w:rsid w:val="00E83E9A"/>
    <w:rsid w:val="00E83FD8"/>
    <w:rsid w:val="00E84350"/>
    <w:rsid w:val="00E8445F"/>
    <w:rsid w:val="00E84659"/>
    <w:rsid w:val="00E84AE0"/>
    <w:rsid w:val="00E84B67"/>
    <w:rsid w:val="00E84BF8"/>
    <w:rsid w:val="00E84CB7"/>
    <w:rsid w:val="00E84DB3"/>
    <w:rsid w:val="00E84F08"/>
    <w:rsid w:val="00E85145"/>
    <w:rsid w:val="00E852DE"/>
    <w:rsid w:val="00E8538B"/>
    <w:rsid w:val="00E85808"/>
    <w:rsid w:val="00E8584E"/>
    <w:rsid w:val="00E85DBF"/>
    <w:rsid w:val="00E85E13"/>
    <w:rsid w:val="00E85E4A"/>
    <w:rsid w:val="00E862EA"/>
    <w:rsid w:val="00E8632C"/>
    <w:rsid w:val="00E86434"/>
    <w:rsid w:val="00E8643A"/>
    <w:rsid w:val="00E86446"/>
    <w:rsid w:val="00E864C4"/>
    <w:rsid w:val="00E86958"/>
    <w:rsid w:val="00E86A15"/>
    <w:rsid w:val="00E86B29"/>
    <w:rsid w:val="00E86BD7"/>
    <w:rsid w:val="00E86C30"/>
    <w:rsid w:val="00E86CAC"/>
    <w:rsid w:val="00E86D6A"/>
    <w:rsid w:val="00E86E93"/>
    <w:rsid w:val="00E87055"/>
    <w:rsid w:val="00E87070"/>
    <w:rsid w:val="00E870AB"/>
    <w:rsid w:val="00E870E2"/>
    <w:rsid w:val="00E871C2"/>
    <w:rsid w:val="00E872FF"/>
    <w:rsid w:val="00E87602"/>
    <w:rsid w:val="00E87936"/>
    <w:rsid w:val="00E87973"/>
    <w:rsid w:val="00E87A1D"/>
    <w:rsid w:val="00E87A22"/>
    <w:rsid w:val="00E87C08"/>
    <w:rsid w:val="00E90289"/>
    <w:rsid w:val="00E902A7"/>
    <w:rsid w:val="00E90321"/>
    <w:rsid w:val="00E90328"/>
    <w:rsid w:val="00E90712"/>
    <w:rsid w:val="00E907D9"/>
    <w:rsid w:val="00E9091F"/>
    <w:rsid w:val="00E909C9"/>
    <w:rsid w:val="00E90B1A"/>
    <w:rsid w:val="00E90CF5"/>
    <w:rsid w:val="00E90F0E"/>
    <w:rsid w:val="00E91071"/>
    <w:rsid w:val="00E91072"/>
    <w:rsid w:val="00E91447"/>
    <w:rsid w:val="00E914BB"/>
    <w:rsid w:val="00E91584"/>
    <w:rsid w:val="00E9170A"/>
    <w:rsid w:val="00E919B9"/>
    <w:rsid w:val="00E91E4F"/>
    <w:rsid w:val="00E91F72"/>
    <w:rsid w:val="00E91FDB"/>
    <w:rsid w:val="00E9204B"/>
    <w:rsid w:val="00E920C2"/>
    <w:rsid w:val="00E921DD"/>
    <w:rsid w:val="00E92837"/>
    <w:rsid w:val="00E929B5"/>
    <w:rsid w:val="00E92AEC"/>
    <w:rsid w:val="00E92BFE"/>
    <w:rsid w:val="00E92C02"/>
    <w:rsid w:val="00E92D52"/>
    <w:rsid w:val="00E93616"/>
    <w:rsid w:val="00E93954"/>
    <w:rsid w:val="00E93B6B"/>
    <w:rsid w:val="00E93BF5"/>
    <w:rsid w:val="00E93F53"/>
    <w:rsid w:val="00E93FA2"/>
    <w:rsid w:val="00E940EC"/>
    <w:rsid w:val="00E94342"/>
    <w:rsid w:val="00E943E6"/>
    <w:rsid w:val="00E9444D"/>
    <w:rsid w:val="00E94462"/>
    <w:rsid w:val="00E944E1"/>
    <w:rsid w:val="00E94591"/>
    <w:rsid w:val="00E946AB"/>
    <w:rsid w:val="00E946C4"/>
    <w:rsid w:val="00E946E4"/>
    <w:rsid w:val="00E94A6C"/>
    <w:rsid w:val="00E94F8E"/>
    <w:rsid w:val="00E94F93"/>
    <w:rsid w:val="00E94FAC"/>
    <w:rsid w:val="00E95032"/>
    <w:rsid w:val="00E950B1"/>
    <w:rsid w:val="00E952A6"/>
    <w:rsid w:val="00E953C0"/>
    <w:rsid w:val="00E95622"/>
    <w:rsid w:val="00E956D1"/>
    <w:rsid w:val="00E95746"/>
    <w:rsid w:val="00E95835"/>
    <w:rsid w:val="00E95BB5"/>
    <w:rsid w:val="00E95CE8"/>
    <w:rsid w:val="00E95D3E"/>
    <w:rsid w:val="00E95F4F"/>
    <w:rsid w:val="00E960B6"/>
    <w:rsid w:val="00E960C8"/>
    <w:rsid w:val="00E96376"/>
    <w:rsid w:val="00E964D9"/>
    <w:rsid w:val="00E9675A"/>
    <w:rsid w:val="00E968A6"/>
    <w:rsid w:val="00E9697B"/>
    <w:rsid w:val="00E96B5A"/>
    <w:rsid w:val="00E96D87"/>
    <w:rsid w:val="00E96E75"/>
    <w:rsid w:val="00E96EC7"/>
    <w:rsid w:val="00E96F2C"/>
    <w:rsid w:val="00E96FF6"/>
    <w:rsid w:val="00E971BA"/>
    <w:rsid w:val="00E97283"/>
    <w:rsid w:val="00E972B6"/>
    <w:rsid w:val="00E9759A"/>
    <w:rsid w:val="00E97622"/>
    <w:rsid w:val="00E9767B"/>
    <w:rsid w:val="00E977AF"/>
    <w:rsid w:val="00E97BE4"/>
    <w:rsid w:val="00E97D26"/>
    <w:rsid w:val="00E97E66"/>
    <w:rsid w:val="00EA0168"/>
    <w:rsid w:val="00EA01C4"/>
    <w:rsid w:val="00EA0218"/>
    <w:rsid w:val="00EA0421"/>
    <w:rsid w:val="00EA04C7"/>
    <w:rsid w:val="00EA0708"/>
    <w:rsid w:val="00EA0A2F"/>
    <w:rsid w:val="00EA0C3C"/>
    <w:rsid w:val="00EA0DD2"/>
    <w:rsid w:val="00EA0DE9"/>
    <w:rsid w:val="00EA0EBB"/>
    <w:rsid w:val="00EA135B"/>
    <w:rsid w:val="00EA1361"/>
    <w:rsid w:val="00EA137C"/>
    <w:rsid w:val="00EA156D"/>
    <w:rsid w:val="00EA15D3"/>
    <w:rsid w:val="00EA1829"/>
    <w:rsid w:val="00EA186C"/>
    <w:rsid w:val="00EA1E02"/>
    <w:rsid w:val="00EA2054"/>
    <w:rsid w:val="00EA2262"/>
    <w:rsid w:val="00EA233D"/>
    <w:rsid w:val="00EA23BD"/>
    <w:rsid w:val="00EA24C2"/>
    <w:rsid w:val="00EA2841"/>
    <w:rsid w:val="00EA2925"/>
    <w:rsid w:val="00EA2C6B"/>
    <w:rsid w:val="00EA31B2"/>
    <w:rsid w:val="00EA321C"/>
    <w:rsid w:val="00EA3295"/>
    <w:rsid w:val="00EA3362"/>
    <w:rsid w:val="00EA344B"/>
    <w:rsid w:val="00EA3542"/>
    <w:rsid w:val="00EA3547"/>
    <w:rsid w:val="00EA358B"/>
    <w:rsid w:val="00EA35D8"/>
    <w:rsid w:val="00EA38A4"/>
    <w:rsid w:val="00EA3D6A"/>
    <w:rsid w:val="00EA3DEB"/>
    <w:rsid w:val="00EA3E04"/>
    <w:rsid w:val="00EA3F20"/>
    <w:rsid w:val="00EA40EA"/>
    <w:rsid w:val="00EA4435"/>
    <w:rsid w:val="00EA4810"/>
    <w:rsid w:val="00EA48B8"/>
    <w:rsid w:val="00EA4B36"/>
    <w:rsid w:val="00EA4BFC"/>
    <w:rsid w:val="00EA4D94"/>
    <w:rsid w:val="00EA4E06"/>
    <w:rsid w:val="00EA4E6E"/>
    <w:rsid w:val="00EA5255"/>
    <w:rsid w:val="00EA527C"/>
    <w:rsid w:val="00EA5368"/>
    <w:rsid w:val="00EA5392"/>
    <w:rsid w:val="00EA558D"/>
    <w:rsid w:val="00EA55DE"/>
    <w:rsid w:val="00EA561B"/>
    <w:rsid w:val="00EA565E"/>
    <w:rsid w:val="00EA58E4"/>
    <w:rsid w:val="00EA5960"/>
    <w:rsid w:val="00EA5B85"/>
    <w:rsid w:val="00EA5BF8"/>
    <w:rsid w:val="00EA5D65"/>
    <w:rsid w:val="00EA5F9B"/>
    <w:rsid w:val="00EA6224"/>
    <w:rsid w:val="00EA62B0"/>
    <w:rsid w:val="00EA62C1"/>
    <w:rsid w:val="00EA62CD"/>
    <w:rsid w:val="00EA6317"/>
    <w:rsid w:val="00EA6375"/>
    <w:rsid w:val="00EA63C7"/>
    <w:rsid w:val="00EA66C5"/>
    <w:rsid w:val="00EA6A27"/>
    <w:rsid w:val="00EA6AB7"/>
    <w:rsid w:val="00EA6AC7"/>
    <w:rsid w:val="00EA6BEC"/>
    <w:rsid w:val="00EA6E41"/>
    <w:rsid w:val="00EA7162"/>
    <w:rsid w:val="00EA7325"/>
    <w:rsid w:val="00EA7640"/>
    <w:rsid w:val="00EA7CDF"/>
    <w:rsid w:val="00EB0092"/>
    <w:rsid w:val="00EB0270"/>
    <w:rsid w:val="00EB03DE"/>
    <w:rsid w:val="00EB052F"/>
    <w:rsid w:val="00EB08CE"/>
    <w:rsid w:val="00EB0CCE"/>
    <w:rsid w:val="00EB0EAA"/>
    <w:rsid w:val="00EB0F50"/>
    <w:rsid w:val="00EB0F85"/>
    <w:rsid w:val="00EB10BE"/>
    <w:rsid w:val="00EB110E"/>
    <w:rsid w:val="00EB1310"/>
    <w:rsid w:val="00EB13C1"/>
    <w:rsid w:val="00EB15DD"/>
    <w:rsid w:val="00EB1640"/>
    <w:rsid w:val="00EB1708"/>
    <w:rsid w:val="00EB198B"/>
    <w:rsid w:val="00EB1B75"/>
    <w:rsid w:val="00EB1DE0"/>
    <w:rsid w:val="00EB1E1E"/>
    <w:rsid w:val="00EB1F68"/>
    <w:rsid w:val="00EB20F2"/>
    <w:rsid w:val="00EB2519"/>
    <w:rsid w:val="00EB2643"/>
    <w:rsid w:val="00EB2860"/>
    <w:rsid w:val="00EB2B6C"/>
    <w:rsid w:val="00EB3070"/>
    <w:rsid w:val="00EB3247"/>
    <w:rsid w:val="00EB37B8"/>
    <w:rsid w:val="00EB3888"/>
    <w:rsid w:val="00EB3964"/>
    <w:rsid w:val="00EB39E2"/>
    <w:rsid w:val="00EB3B05"/>
    <w:rsid w:val="00EB3CD0"/>
    <w:rsid w:val="00EB3DFE"/>
    <w:rsid w:val="00EB3E95"/>
    <w:rsid w:val="00EB3FFA"/>
    <w:rsid w:val="00EB424E"/>
    <w:rsid w:val="00EB4274"/>
    <w:rsid w:val="00EB42FA"/>
    <w:rsid w:val="00EB4677"/>
    <w:rsid w:val="00EB4696"/>
    <w:rsid w:val="00EB46B3"/>
    <w:rsid w:val="00EB48DF"/>
    <w:rsid w:val="00EB4BA5"/>
    <w:rsid w:val="00EB5123"/>
    <w:rsid w:val="00EB51AB"/>
    <w:rsid w:val="00EB53B7"/>
    <w:rsid w:val="00EB5434"/>
    <w:rsid w:val="00EB5602"/>
    <w:rsid w:val="00EB5634"/>
    <w:rsid w:val="00EB5722"/>
    <w:rsid w:val="00EB58EA"/>
    <w:rsid w:val="00EB5ABC"/>
    <w:rsid w:val="00EB5B0B"/>
    <w:rsid w:val="00EB5BBA"/>
    <w:rsid w:val="00EB5CFD"/>
    <w:rsid w:val="00EB5D1C"/>
    <w:rsid w:val="00EB5E69"/>
    <w:rsid w:val="00EB5F0D"/>
    <w:rsid w:val="00EB5FC6"/>
    <w:rsid w:val="00EB613C"/>
    <w:rsid w:val="00EB68DE"/>
    <w:rsid w:val="00EB6C27"/>
    <w:rsid w:val="00EB6D21"/>
    <w:rsid w:val="00EB6EE1"/>
    <w:rsid w:val="00EB6F91"/>
    <w:rsid w:val="00EB7077"/>
    <w:rsid w:val="00EB71A2"/>
    <w:rsid w:val="00EB746E"/>
    <w:rsid w:val="00EB7586"/>
    <w:rsid w:val="00EB7BEE"/>
    <w:rsid w:val="00EC009F"/>
    <w:rsid w:val="00EC051A"/>
    <w:rsid w:val="00EC06EA"/>
    <w:rsid w:val="00EC0704"/>
    <w:rsid w:val="00EC0778"/>
    <w:rsid w:val="00EC079E"/>
    <w:rsid w:val="00EC09BF"/>
    <w:rsid w:val="00EC0A23"/>
    <w:rsid w:val="00EC0AC4"/>
    <w:rsid w:val="00EC0AE4"/>
    <w:rsid w:val="00EC0B2B"/>
    <w:rsid w:val="00EC0BD8"/>
    <w:rsid w:val="00EC0D01"/>
    <w:rsid w:val="00EC0D6C"/>
    <w:rsid w:val="00EC0FF7"/>
    <w:rsid w:val="00EC10E0"/>
    <w:rsid w:val="00EC11EC"/>
    <w:rsid w:val="00EC1549"/>
    <w:rsid w:val="00EC164B"/>
    <w:rsid w:val="00EC1675"/>
    <w:rsid w:val="00EC1700"/>
    <w:rsid w:val="00EC1707"/>
    <w:rsid w:val="00EC175F"/>
    <w:rsid w:val="00EC17A6"/>
    <w:rsid w:val="00EC1805"/>
    <w:rsid w:val="00EC187B"/>
    <w:rsid w:val="00EC18AD"/>
    <w:rsid w:val="00EC18AE"/>
    <w:rsid w:val="00EC1942"/>
    <w:rsid w:val="00EC19A3"/>
    <w:rsid w:val="00EC19B9"/>
    <w:rsid w:val="00EC1A1D"/>
    <w:rsid w:val="00EC1A69"/>
    <w:rsid w:val="00EC1B28"/>
    <w:rsid w:val="00EC1B5C"/>
    <w:rsid w:val="00EC1C6E"/>
    <w:rsid w:val="00EC1D3F"/>
    <w:rsid w:val="00EC1D46"/>
    <w:rsid w:val="00EC1E2E"/>
    <w:rsid w:val="00EC2307"/>
    <w:rsid w:val="00EC2425"/>
    <w:rsid w:val="00EC2517"/>
    <w:rsid w:val="00EC2620"/>
    <w:rsid w:val="00EC2915"/>
    <w:rsid w:val="00EC2995"/>
    <w:rsid w:val="00EC2A45"/>
    <w:rsid w:val="00EC2B48"/>
    <w:rsid w:val="00EC2DA4"/>
    <w:rsid w:val="00EC2E17"/>
    <w:rsid w:val="00EC305B"/>
    <w:rsid w:val="00EC309B"/>
    <w:rsid w:val="00EC3182"/>
    <w:rsid w:val="00EC31D5"/>
    <w:rsid w:val="00EC333C"/>
    <w:rsid w:val="00EC3408"/>
    <w:rsid w:val="00EC3893"/>
    <w:rsid w:val="00EC39A0"/>
    <w:rsid w:val="00EC39F4"/>
    <w:rsid w:val="00EC3D3F"/>
    <w:rsid w:val="00EC3E3D"/>
    <w:rsid w:val="00EC3F7E"/>
    <w:rsid w:val="00EC43AE"/>
    <w:rsid w:val="00EC43ED"/>
    <w:rsid w:val="00EC4481"/>
    <w:rsid w:val="00EC48EC"/>
    <w:rsid w:val="00EC4AD3"/>
    <w:rsid w:val="00EC4B47"/>
    <w:rsid w:val="00EC4CA4"/>
    <w:rsid w:val="00EC4E81"/>
    <w:rsid w:val="00EC51E3"/>
    <w:rsid w:val="00EC5236"/>
    <w:rsid w:val="00EC528F"/>
    <w:rsid w:val="00EC5382"/>
    <w:rsid w:val="00EC54CB"/>
    <w:rsid w:val="00EC554F"/>
    <w:rsid w:val="00EC5659"/>
    <w:rsid w:val="00EC57F8"/>
    <w:rsid w:val="00EC586D"/>
    <w:rsid w:val="00EC5945"/>
    <w:rsid w:val="00EC5C1A"/>
    <w:rsid w:val="00EC5D28"/>
    <w:rsid w:val="00EC5EE3"/>
    <w:rsid w:val="00EC5F4C"/>
    <w:rsid w:val="00EC6042"/>
    <w:rsid w:val="00EC60A9"/>
    <w:rsid w:val="00EC61DC"/>
    <w:rsid w:val="00EC6560"/>
    <w:rsid w:val="00EC6628"/>
    <w:rsid w:val="00EC66DA"/>
    <w:rsid w:val="00EC68DD"/>
    <w:rsid w:val="00EC6A18"/>
    <w:rsid w:val="00EC6DC1"/>
    <w:rsid w:val="00EC6DD2"/>
    <w:rsid w:val="00EC7243"/>
    <w:rsid w:val="00EC737E"/>
    <w:rsid w:val="00EC745E"/>
    <w:rsid w:val="00EC752F"/>
    <w:rsid w:val="00EC75E9"/>
    <w:rsid w:val="00EC79EF"/>
    <w:rsid w:val="00EC7C9F"/>
    <w:rsid w:val="00ED00C3"/>
    <w:rsid w:val="00ED039C"/>
    <w:rsid w:val="00ED0470"/>
    <w:rsid w:val="00ED0688"/>
    <w:rsid w:val="00ED0697"/>
    <w:rsid w:val="00ED0B0B"/>
    <w:rsid w:val="00ED0D35"/>
    <w:rsid w:val="00ED0DC6"/>
    <w:rsid w:val="00ED0F14"/>
    <w:rsid w:val="00ED1179"/>
    <w:rsid w:val="00ED148E"/>
    <w:rsid w:val="00ED181E"/>
    <w:rsid w:val="00ED188E"/>
    <w:rsid w:val="00ED1A3B"/>
    <w:rsid w:val="00ED1C68"/>
    <w:rsid w:val="00ED1D8E"/>
    <w:rsid w:val="00ED1F54"/>
    <w:rsid w:val="00ED1FB5"/>
    <w:rsid w:val="00ED22D1"/>
    <w:rsid w:val="00ED232C"/>
    <w:rsid w:val="00ED2331"/>
    <w:rsid w:val="00ED240F"/>
    <w:rsid w:val="00ED25DE"/>
    <w:rsid w:val="00ED266C"/>
    <w:rsid w:val="00ED29BA"/>
    <w:rsid w:val="00ED2A04"/>
    <w:rsid w:val="00ED2A33"/>
    <w:rsid w:val="00ED2AB3"/>
    <w:rsid w:val="00ED2AED"/>
    <w:rsid w:val="00ED2CEB"/>
    <w:rsid w:val="00ED2D15"/>
    <w:rsid w:val="00ED2E5A"/>
    <w:rsid w:val="00ED2E65"/>
    <w:rsid w:val="00ED2E8F"/>
    <w:rsid w:val="00ED2E9F"/>
    <w:rsid w:val="00ED30F1"/>
    <w:rsid w:val="00ED3319"/>
    <w:rsid w:val="00ED338E"/>
    <w:rsid w:val="00ED374E"/>
    <w:rsid w:val="00ED398C"/>
    <w:rsid w:val="00ED3BB5"/>
    <w:rsid w:val="00ED3F5E"/>
    <w:rsid w:val="00ED3F9E"/>
    <w:rsid w:val="00ED4089"/>
    <w:rsid w:val="00ED424C"/>
    <w:rsid w:val="00ED425B"/>
    <w:rsid w:val="00ED4340"/>
    <w:rsid w:val="00ED449B"/>
    <w:rsid w:val="00ED47F6"/>
    <w:rsid w:val="00ED4824"/>
    <w:rsid w:val="00ED49AB"/>
    <w:rsid w:val="00ED4B62"/>
    <w:rsid w:val="00ED4FC1"/>
    <w:rsid w:val="00ED4FD3"/>
    <w:rsid w:val="00ED54A5"/>
    <w:rsid w:val="00ED56C7"/>
    <w:rsid w:val="00ED5814"/>
    <w:rsid w:val="00ED58BE"/>
    <w:rsid w:val="00ED5E62"/>
    <w:rsid w:val="00ED5F39"/>
    <w:rsid w:val="00ED6049"/>
    <w:rsid w:val="00ED62E9"/>
    <w:rsid w:val="00ED684D"/>
    <w:rsid w:val="00ED6B9E"/>
    <w:rsid w:val="00ED70A2"/>
    <w:rsid w:val="00ED7159"/>
    <w:rsid w:val="00ED725F"/>
    <w:rsid w:val="00ED78BB"/>
    <w:rsid w:val="00ED7907"/>
    <w:rsid w:val="00ED799B"/>
    <w:rsid w:val="00ED79B3"/>
    <w:rsid w:val="00ED79EA"/>
    <w:rsid w:val="00ED7B1E"/>
    <w:rsid w:val="00ED7BE2"/>
    <w:rsid w:val="00ED7BF8"/>
    <w:rsid w:val="00ED7C23"/>
    <w:rsid w:val="00ED7C5E"/>
    <w:rsid w:val="00ED7D6D"/>
    <w:rsid w:val="00ED7E78"/>
    <w:rsid w:val="00ED7ECA"/>
    <w:rsid w:val="00ED7EE7"/>
    <w:rsid w:val="00EE042A"/>
    <w:rsid w:val="00EE063E"/>
    <w:rsid w:val="00EE073D"/>
    <w:rsid w:val="00EE0E79"/>
    <w:rsid w:val="00EE0F91"/>
    <w:rsid w:val="00EE0FFC"/>
    <w:rsid w:val="00EE10A0"/>
    <w:rsid w:val="00EE11EB"/>
    <w:rsid w:val="00EE13F4"/>
    <w:rsid w:val="00EE1457"/>
    <w:rsid w:val="00EE1725"/>
    <w:rsid w:val="00EE17D1"/>
    <w:rsid w:val="00EE20E5"/>
    <w:rsid w:val="00EE2614"/>
    <w:rsid w:val="00EE2673"/>
    <w:rsid w:val="00EE2758"/>
    <w:rsid w:val="00EE2874"/>
    <w:rsid w:val="00EE2D03"/>
    <w:rsid w:val="00EE2E51"/>
    <w:rsid w:val="00EE2FFC"/>
    <w:rsid w:val="00EE3067"/>
    <w:rsid w:val="00EE320E"/>
    <w:rsid w:val="00EE32A7"/>
    <w:rsid w:val="00EE3415"/>
    <w:rsid w:val="00EE35BD"/>
    <w:rsid w:val="00EE35CA"/>
    <w:rsid w:val="00EE3618"/>
    <w:rsid w:val="00EE377D"/>
    <w:rsid w:val="00EE3862"/>
    <w:rsid w:val="00EE3875"/>
    <w:rsid w:val="00EE3A6C"/>
    <w:rsid w:val="00EE3B5E"/>
    <w:rsid w:val="00EE3D5E"/>
    <w:rsid w:val="00EE3E49"/>
    <w:rsid w:val="00EE3EBC"/>
    <w:rsid w:val="00EE3FB2"/>
    <w:rsid w:val="00EE403A"/>
    <w:rsid w:val="00EE40D0"/>
    <w:rsid w:val="00EE4484"/>
    <w:rsid w:val="00EE4627"/>
    <w:rsid w:val="00EE4639"/>
    <w:rsid w:val="00EE4725"/>
    <w:rsid w:val="00EE4759"/>
    <w:rsid w:val="00EE490B"/>
    <w:rsid w:val="00EE4A22"/>
    <w:rsid w:val="00EE4A35"/>
    <w:rsid w:val="00EE4A3B"/>
    <w:rsid w:val="00EE4DFF"/>
    <w:rsid w:val="00EE51D1"/>
    <w:rsid w:val="00EE5388"/>
    <w:rsid w:val="00EE53F7"/>
    <w:rsid w:val="00EE54CB"/>
    <w:rsid w:val="00EE557C"/>
    <w:rsid w:val="00EE563F"/>
    <w:rsid w:val="00EE5654"/>
    <w:rsid w:val="00EE573B"/>
    <w:rsid w:val="00EE5765"/>
    <w:rsid w:val="00EE5828"/>
    <w:rsid w:val="00EE58A6"/>
    <w:rsid w:val="00EE59DB"/>
    <w:rsid w:val="00EE5AE6"/>
    <w:rsid w:val="00EE5B14"/>
    <w:rsid w:val="00EE5D66"/>
    <w:rsid w:val="00EE5E35"/>
    <w:rsid w:val="00EE5FA3"/>
    <w:rsid w:val="00EE61A1"/>
    <w:rsid w:val="00EE625E"/>
    <w:rsid w:val="00EE680D"/>
    <w:rsid w:val="00EE689C"/>
    <w:rsid w:val="00EE6C63"/>
    <w:rsid w:val="00EE6E4E"/>
    <w:rsid w:val="00EE6F2E"/>
    <w:rsid w:val="00EE7025"/>
    <w:rsid w:val="00EE71AA"/>
    <w:rsid w:val="00EE748D"/>
    <w:rsid w:val="00EE78AC"/>
    <w:rsid w:val="00EE7A81"/>
    <w:rsid w:val="00EE7AAB"/>
    <w:rsid w:val="00EE7C16"/>
    <w:rsid w:val="00EE7CE3"/>
    <w:rsid w:val="00EE7D2A"/>
    <w:rsid w:val="00EE7D95"/>
    <w:rsid w:val="00EE7EDC"/>
    <w:rsid w:val="00EF05BB"/>
    <w:rsid w:val="00EF073C"/>
    <w:rsid w:val="00EF07EC"/>
    <w:rsid w:val="00EF09B5"/>
    <w:rsid w:val="00EF09DB"/>
    <w:rsid w:val="00EF0E80"/>
    <w:rsid w:val="00EF12DC"/>
    <w:rsid w:val="00EF171F"/>
    <w:rsid w:val="00EF1739"/>
    <w:rsid w:val="00EF1763"/>
    <w:rsid w:val="00EF184A"/>
    <w:rsid w:val="00EF1857"/>
    <w:rsid w:val="00EF1B7F"/>
    <w:rsid w:val="00EF1C1B"/>
    <w:rsid w:val="00EF1CAB"/>
    <w:rsid w:val="00EF1D83"/>
    <w:rsid w:val="00EF1EAC"/>
    <w:rsid w:val="00EF1F16"/>
    <w:rsid w:val="00EF1F30"/>
    <w:rsid w:val="00EF20CD"/>
    <w:rsid w:val="00EF2315"/>
    <w:rsid w:val="00EF263A"/>
    <w:rsid w:val="00EF26C0"/>
    <w:rsid w:val="00EF2833"/>
    <w:rsid w:val="00EF2A3C"/>
    <w:rsid w:val="00EF2C57"/>
    <w:rsid w:val="00EF2EAB"/>
    <w:rsid w:val="00EF313F"/>
    <w:rsid w:val="00EF3707"/>
    <w:rsid w:val="00EF37F4"/>
    <w:rsid w:val="00EF3809"/>
    <w:rsid w:val="00EF3B6D"/>
    <w:rsid w:val="00EF3B86"/>
    <w:rsid w:val="00EF3B8F"/>
    <w:rsid w:val="00EF3C97"/>
    <w:rsid w:val="00EF3D33"/>
    <w:rsid w:val="00EF3DC0"/>
    <w:rsid w:val="00EF3F21"/>
    <w:rsid w:val="00EF3F9A"/>
    <w:rsid w:val="00EF3FAA"/>
    <w:rsid w:val="00EF3FFC"/>
    <w:rsid w:val="00EF429D"/>
    <w:rsid w:val="00EF4481"/>
    <w:rsid w:val="00EF4621"/>
    <w:rsid w:val="00EF465E"/>
    <w:rsid w:val="00EF4703"/>
    <w:rsid w:val="00EF4782"/>
    <w:rsid w:val="00EF4B45"/>
    <w:rsid w:val="00EF4C34"/>
    <w:rsid w:val="00EF4C58"/>
    <w:rsid w:val="00EF4D13"/>
    <w:rsid w:val="00EF4DC6"/>
    <w:rsid w:val="00EF4F25"/>
    <w:rsid w:val="00EF4F50"/>
    <w:rsid w:val="00EF502D"/>
    <w:rsid w:val="00EF5213"/>
    <w:rsid w:val="00EF5369"/>
    <w:rsid w:val="00EF538B"/>
    <w:rsid w:val="00EF5542"/>
    <w:rsid w:val="00EF5694"/>
    <w:rsid w:val="00EF5705"/>
    <w:rsid w:val="00EF57AA"/>
    <w:rsid w:val="00EF57E9"/>
    <w:rsid w:val="00EF582C"/>
    <w:rsid w:val="00EF5DFF"/>
    <w:rsid w:val="00EF5E89"/>
    <w:rsid w:val="00EF5FF8"/>
    <w:rsid w:val="00EF6072"/>
    <w:rsid w:val="00EF62F8"/>
    <w:rsid w:val="00EF6362"/>
    <w:rsid w:val="00EF63B1"/>
    <w:rsid w:val="00EF66DB"/>
    <w:rsid w:val="00EF6D12"/>
    <w:rsid w:val="00EF707C"/>
    <w:rsid w:val="00EF70B0"/>
    <w:rsid w:val="00EF71BD"/>
    <w:rsid w:val="00EF73CB"/>
    <w:rsid w:val="00EF7674"/>
    <w:rsid w:val="00EF7BB5"/>
    <w:rsid w:val="00EF7CBF"/>
    <w:rsid w:val="00EF7D22"/>
    <w:rsid w:val="00EF7EA3"/>
    <w:rsid w:val="00EF7F60"/>
    <w:rsid w:val="00EF7F87"/>
    <w:rsid w:val="00EF7FB0"/>
    <w:rsid w:val="00EF7FC9"/>
    <w:rsid w:val="00F000E5"/>
    <w:rsid w:val="00F0029B"/>
    <w:rsid w:val="00F0058F"/>
    <w:rsid w:val="00F005AF"/>
    <w:rsid w:val="00F00669"/>
    <w:rsid w:val="00F006FB"/>
    <w:rsid w:val="00F00875"/>
    <w:rsid w:val="00F00889"/>
    <w:rsid w:val="00F00969"/>
    <w:rsid w:val="00F00AA5"/>
    <w:rsid w:val="00F00DC0"/>
    <w:rsid w:val="00F01058"/>
    <w:rsid w:val="00F011B2"/>
    <w:rsid w:val="00F011ED"/>
    <w:rsid w:val="00F013C7"/>
    <w:rsid w:val="00F014F8"/>
    <w:rsid w:val="00F0154D"/>
    <w:rsid w:val="00F01626"/>
    <w:rsid w:val="00F01646"/>
    <w:rsid w:val="00F01937"/>
    <w:rsid w:val="00F019AC"/>
    <w:rsid w:val="00F01A6B"/>
    <w:rsid w:val="00F01BEE"/>
    <w:rsid w:val="00F01D5B"/>
    <w:rsid w:val="00F01E16"/>
    <w:rsid w:val="00F01FDB"/>
    <w:rsid w:val="00F021B6"/>
    <w:rsid w:val="00F021CD"/>
    <w:rsid w:val="00F021DA"/>
    <w:rsid w:val="00F021EA"/>
    <w:rsid w:val="00F02295"/>
    <w:rsid w:val="00F0245C"/>
    <w:rsid w:val="00F0250A"/>
    <w:rsid w:val="00F0255C"/>
    <w:rsid w:val="00F0290C"/>
    <w:rsid w:val="00F0296A"/>
    <w:rsid w:val="00F02CB9"/>
    <w:rsid w:val="00F02D5D"/>
    <w:rsid w:val="00F02E0B"/>
    <w:rsid w:val="00F02F00"/>
    <w:rsid w:val="00F02F7A"/>
    <w:rsid w:val="00F02FED"/>
    <w:rsid w:val="00F0314B"/>
    <w:rsid w:val="00F03232"/>
    <w:rsid w:val="00F03237"/>
    <w:rsid w:val="00F03275"/>
    <w:rsid w:val="00F03371"/>
    <w:rsid w:val="00F03374"/>
    <w:rsid w:val="00F0343D"/>
    <w:rsid w:val="00F036F4"/>
    <w:rsid w:val="00F038D2"/>
    <w:rsid w:val="00F0398F"/>
    <w:rsid w:val="00F03A82"/>
    <w:rsid w:val="00F03BBB"/>
    <w:rsid w:val="00F03DE9"/>
    <w:rsid w:val="00F03DED"/>
    <w:rsid w:val="00F03F70"/>
    <w:rsid w:val="00F04066"/>
    <w:rsid w:val="00F041A2"/>
    <w:rsid w:val="00F043ED"/>
    <w:rsid w:val="00F0443F"/>
    <w:rsid w:val="00F04624"/>
    <w:rsid w:val="00F0496E"/>
    <w:rsid w:val="00F04A03"/>
    <w:rsid w:val="00F04EDF"/>
    <w:rsid w:val="00F04FC7"/>
    <w:rsid w:val="00F04FD8"/>
    <w:rsid w:val="00F0509D"/>
    <w:rsid w:val="00F05758"/>
    <w:rsid w:val="00F0592E"/>
    <w:rsid w:val="00F0598B"/>
    <w:rsid w:val="00F05999"/>
    <w:rsid w:val="00F05C58"/>
    <w:rsid w:val="00F05CE9"/>
    <w:rsid w:val="00F05DE7"/>
    <w:rsid w:val="00F06189"/>
    <w:rsid w:val="00F061D2"/>
    <w:rsid w:val="00F06257"/>
    <w:rsid w:val="00F06300"/>
    <w:rsid w:val="00F06339"/>
    <w:rsid w:val="00F0668D"/>
    <w:rsid w:val="00F066C9"/>
    <w:rsid w:val="00F068AA"/>
    <w:rsid w:val="00F0696F"/>
    <w:rsid w:val="00F06D26"/>
    <w:rsid w:val="00F06D47"/>
    <w:rsid w:val="00F06D7D"/>
    <w:rsid w:val="00F06E06"/>
    <w:rsid w:val="00F06F50"/>
    <w:rsid w:val="00F07207"/>
    <w:rsid w:val="00F072DD"/>
    <w:rsid w:val="00F076E6"/>
    <w:rsid w:val="00F07830"/>
    <w:rsid w:val="00F07A33"/>
    <w:rsid w:val="00F07AD9"/>
    <w:rsid w:val="00F07B96"/>
    <w:rsid w:val="00F07BFB"/>
    <w:rsid w:val="00F07CD3"/>
    <w:rsid w:val="00F07D50"/>
    <w:rsid w:val="00F07DBB"/>
    <w:rsid w:val="00F07F4D"/>
    <w:rsid w:val="00F07F74"/>
    <w:rsid w:val="00F10069"/>
    <w:rsid w:val="00F105DB"/>
    <w:rsid w:val="00F105DE"/>
    <w:rsid w:val="00F1064F"/>
    <w:rsid w:val="00F106CA"/>
    <w:rsid w:val="00F106DE"/>
    <w:rsid w:val="00F1083A"/>
    <w:rsid w:val="00F1094A"/>
    <w:rsid w:val="00F10A0A"/>
    <w:rsid w:val="00F10A48"/>
    <w:rsid w:val="00F10A68"/>
    <w:rsid w:val="00F10A7C"/>
    <w:rsid w:val="00F10AA0"/>
    <w:rsid w:val="00F10B47"/>
    <w:rsid w:val="00F10ED6"/>
    <w:rsid w:val="00F10EF7"/>
    <w:rsid w:val="00F10FCE"/>
    <w:rsid w:val="00F1104F"/>
    <w:rsid w:val="00F1108C"/>
    <w:rsid w:val="00F110AD"/>
    <w:rsid w:val="00F112F5"/>
    <w:rsid w:val="00F11363"/>
    <w:rsid w:val="00F114EF"/>
    <w:rsid w:val="00F114F1"/>
    <w:rsid w:val="00F1154B"/>
    <w:rsid w:val="00F11691"/>
    <w:rsid w:val="00F11888"/>
    <w:rsid w:val="00F118C4"/>
    <w:rsid w:val="00F11930"/>
    <w:rsid w:val="00F11AF8"/>
    <w:rsid w:val="00F11E0E"/>
    <w:rsid w:val="00F11EBA"/>
    <w:rsid w:val="00F11FD5"/>
    <w:rsid w:val="00F11FF7"/>
    <w:rsid w:val="00F120A9"/>
    <w:rsid w:val="00F12145"/>
    <w:rsid w:val="00F12151"/>
    <w:rsid w:val="00F12153"/>
    <w:rsid w:val="00F1219A"/>
    <w:rsid w:val="00F12231"/>
    <w:rsid w:val="00F12279"/>
    <w:rsid w:val="00F123DC"/>
    <w:rsid w:val="00F12439"/>
    <w:rsid w:val="00F126AB"/>
    <w:rsid w:val="00F126DB"/>
    <w:rsid w:val="00F12760"/>
    <w:rsid w:val="00F12783"/>
    <w:rsid w:val="00F12863"/>
    <w:rsid w:val="00F12DA3"/>
    <w:rsid w:val="00F12EDC"/>
    <w:rsid w:val="00F1303C"/>
    <w:rsid w:val="00F130B7"/>
    <w:rsid w:val="00F131F5"/>
    <w:rsid w:val="00F133DE"/>
    <w:rsid w:val="00F13483"/>
    <w:rsid w:val="00F1363B"/>
    <w:rsid w:val="00F1368A"/>
    <w:rsid w:val="00F13696"/>
    <w:rsid w:val="00F13AB6"/>
    <w:rsid w:val="00F13ECA"/>
    <w:rsid w:val="00F13F36"/>
    <w:rsid w:val="00F14003"/>
    <w:rsid w:val="00F1446B"/>
    <w:rsid w:val="00F14764"/>
    <w:rsid w:val="00F1484E"/>
    <w:rsid w:val="00F149DF"/>
    <w:rsid w:val="00F14B56"/>
    <w:rsid w:val="00F14C3B"/>
    <w:rsid w:val="00F14C40"/>
    <w:rsid w:val="00F14CF3"/>
    <w:rsid w:val="00F14DE1"/>
    <w:rsid w:val="00F14E20"/>
    <w:rsid w:val="00F14E8E"/>
    <w:rsid w:val="00F14FF4"/>
    <w:rsid w:val="00F152DC"/>
    <w:rsid w:val="00F15472"/>
    <w:rsid w:val="00F15511"/>
    <w:rsid w:val="00F155A1"/>
    <w:rsid w:val="00F155D4"/>
    <w:rsid w:val="00F1571B"/>
    <w:rsid w:val="00F157E2"/>
    <w:rsid w:val="00F15A32"/>
    <w:rsid w:val="00F15B73"/>
    <w:rsid w:val="00F15BDA"/>
    <w:rsid w:val="00F15C6E"/>
    <w:rsid w:val="00F15D6E"/>
    <w:rsid w:val="00F15D71"/>
    <w:rsid w:val="00F15EB8"/>
    <w:rsid w:val="00F16065"/>
    <w:rsid w:val="00F1617A"/>
    <w:rsid w:val="00F164E5"/>
    <w:rsid w:val="00F16775"/>
    <w:rsid w:val="00F16779"/>
    <w:rsid w:val="00F1678D"/>
    <w:rsid w:val="00F1693F"/>
    <w:rsid w:val="00F16E1B"/>
    <w:rsid w:val="00F16FD5"/>
    <w:rsid w:val="00F16FFA"/>
    <w:rsid w:val="00F171CB"/>
    <w:rsid w:val="00F171CD"/>
    <w:rsid w:val="00F17578"/>
    <w:rsid w:val="00F17586"/>
    <w:rsid w:val="00F17693"/>
    <w:rsid w:val="00F17C8E"/>
    <w:rsid w:val="00F20286"/>
    <w:rsid w:val="00F202B2"/>
    <w:rsid w:val="00F203BC"/>
    <w:rsid w:val="00F203BF"/>
    <w:rsid w:val="00F20424"/>
    <w:rsid w:val="00F205D8"/>
    <w:rsid w:val="00F20751"/>
    <w:rsid w:val="00F209AA"/>
    <w:rsid w:val="00F209E9"/>
    <w:rsid w:val="00F20ADA"/>
    <w:rsid w:val="00F20DD7"/>
    <w:rsid w:val="00F20E8B"/>
    <w:rsid w:val="00F2103F"/>
    <w:rsid w:val="00F212B3"/>
    <w:rsid w:val="00F2136B"/>
    <w:rsid w:val="00F21659"/>
    <w:rsid w:val="00F2171A"/>
    <w:rsid w:val="00F21753"/>
    <w:rsid w:val="00F21815"/>
    <w:rsid w:val="00F2188F"/>
    <w:rsid w:val="00F21BCD"/>
    <w:rsid w:val="00F21C51"/>
    <w:rsid w:val="00F21EE4"/>
    <w:rsid w:val="00F220DE"/>
    <w:rsid w:val="00F221E6"/>
    <w:rsid w:val="00F2224E"/>
    <w:rsid w:val="00F2231A"/>
    <w:rsid w:val="00F2249E"/>
    <w:rsid w:val="00F22714"/>
    <w:rsid w:val="00F2272D"/>
    <w:rsid w:val="00F2286F"/>
    <w:rsid w:val="00F22978"/>
    <w:rsid w:val="00F22A7E"/>
    <w:rsid w:val="00F22BAE"/>
    <w:rsid w:val="00F22C09"/>
    <w:rsid w:val="00F22FF4"/>
    <w:rsid w:val="00F23007"/>
    <w:rsid w:val="00F23148"/>
    <w:rsid w:val="00F231FD"/>
    <w:rsid w:val="00F2328D"/>
    <w:rsid w:val="00F23462"/>
    <w:rsid w:val="00F2376D"/>
    <w:rsid w:val="00F2377B"/>
    <w:rsid w:val="00F23B7D"/>
    <w:rsid w:val="00F23C00"/>
    <w:rsid w:val="00F24041"/>
    <w:rsid w:val="00F24180"/>
    <w:rsid w:val="00F24417"/>
    <w:rsid w:val="00F24497"/>
    <w:rsid w:val="00F244F5"/>
    <w:rsid w:val="00F245D9"/>
    <w:rsid w:val="00F24741"/>
    <w:rsid w:val="00F2487D"/>
    <w:rsid w:val="00F2490A"/>
    <w:rsid w:val="00F24913"/>
    <w:rsid w:val="00F24954"/>
    <w:rsid w:val="00F2495F"/>
    <w:rsid w:val="00F24A4D"/>
    <w:rsid w:val="00F24D40"/>
    <w:rsid w:val="00F24DC0"/>
    <w:rsid w:val="00F2516C"/>
    <w:rsid w:val="00F252CC"/>
    <w:rsid w:val="00F253CE"/>
    <w:rsid w:val="00F25448"/>
    <w:rsid w:val="00F25705"/>
    <w:rsid w:val="00F257CD"/>
    <w:rsid w:val="00F257F2"/>
    <w:rsid w:val="00F25ADF"/>
    <w:rsid w:val="00F25B6B"/>
    <w:rsid w:val="00F25B89"/>
    <w:rsid w:val="00F25DD4"/>
    <w:rsid w:val="00F25E7B"/>
    <w:rsid w:val="00F25F0C"/>
    <w:rsid w:val="00F25F9F"/>
    <w:rsid w:val="00F25FAC"/>
    <w:rsid w:val="00F261CC"/>
    <w:rsid w:val="00F263A0"/>
    <w:rsid w:val="00F2645D"/>
    <w:rsid w:val="00F2657A"/>
    <w:rsid w:val="00F26584"/>
    <w:rsid w:val="00F26606"/>
    <w:rsid w:val="00F2663F"/>
    <w:rsid w:val="00F2669F"/>
    <w:rsid w:val="00F267A7"/>
    <w:rsid w:val="00F267F6"/>
    <w:rsid w:val="00F2690F"/>
    <w:rsid w:val="00F26C6C"/>
    <w:rsid w:val="00F26D65"/>
    <w:rsid w:val="00F26F25"/>
    <w:rsid w:val="00F270BB"/>
    <w:rsid w:val="00F270E3"/>
    <w:rsid w:val="00F271DF"/>
    <w:rsid w:val="00F2721F"/>
    <w:rsid w:val="00F27525"/>
    <w:rsid w:val="00F278B9"/>
    <w:rsid w:val="00F27B76"/>
    <w:rsid w:val="00F27BF0"/>
    <w:rsid w:val="00F27CB4"/>
    <w:rsid w:val="00F27CE1"/>
    <w:rsid w:val="00F27DB6"/>
    <w:rsid w:val="00F27DB7"/>
    <w:rsid w:val="00F27E61"/>
    <w:rsid w:val="00F27EBD"/>
    <w:rsid w:val="00F27F6C"/>
    <w:rsid w:val="00F3042C"/>
    <w:rsid w:val="00F30765"/>
    <w:rsid w:val="00F3090A"/>
    <w:rsid w:val="00F30987"/>
    <w:rsid w:val="00F30BB5"/>
    <w:rsid w:val="00F30DB3"/>
    <w:rsid w:val="00F30EA4"/>
    <w:rsid w:val="00F30F6B"/>
    <w:rsid w:val="00F30F74"/>
    <w:rsid w:val="00F3156F"/>
    <w:rsid w:val="00F31724"/>
    <w:rsid w:val="00F317EB"/>
    <w:rsid w:val="00F31B02"/>
    <w:rsid w:val="00F31DDC"/>
    <w:rsid w:val="00F31E03"/>
    <w:rsid w:val="00F31F05"/>
    <w:rsid w:val="00F321F2"/>
    <w:rsid w:val="00F32272"/>
    <w:rsid w:val="00F32276"/>
    <w:rsid w:val="00F32314"/>
    <w:rsid w:val="00F32720"/>
    <w:rsid w:val="00F328C4"/>
    <w:rsid w:val="00F3295D"/>
    <w:rsid w:val="00F32A39"/>
    <w:rsid w:val="00F32A6C"/>
    <w:rsid w:val="00F32E7E"/>
    <w:rsid w:val="00F32F06"/>
    <w:rsid w:val="00F32F3D"/>
    <w:rsid w:val="00F3327A"/>
    <w:rsid w:val="00F33293"/>
    <w:rsid w:val="00F332C4"/>
    <w:rsid w:val="00F33367"/>
    <w:rsid w:val="00F3342A"/>
    <w:rsid w:val="00F336BA"/>
    <w:rsid w:val="00F337E0"/>
    <w:rsid w:val="00F33927"/>
    <w:rsid w:val="00F33A52"/>
    <w:rsid w:val="00F33A9E"/>
    <w:rsid w:val="00F33CFE"/>
    <w:rsid w:val="00F33DAC"/>
    <w:rsid w:val="00F33EA5"/>
    <w:rsid w:val="00F34010"/>
    <w:rsid w:val="00F34035"/>
    <w:rsid w:val="00F34386"/>
    <w:rsid w:val="00F34497"/>
    <w:rsid w:val="00F344D7"/>
    <w:rsid w:val="00F3458F"/>
    <w:rsid w:val="00F348AC"/>
    <w:rsid w:val="00F349E2"/>
    <w:rsid w:val="00F34A30"/>
    <w:rsid w:val="00F34B40"/>
    <w:rsid w:val="00F34B80"/>
    <w:rsid w:val="00F34E2F"/>
    <w:rsid w:val="00F350D4"/>
    <w:rsid w:val="00F35254"/>
    <w:rsid w:val="00F35294"/>
    <w:rsid w:val="00F35561"/>
    <w:rsid w:val="00F3595D"/>
    <w:rsid w:val="00F35DB8"/>
    <w:rsid w:val="00F35F2E"/>
    <w:rsid w:val="00F35F58"/>
    <w:rsid w:val="00F3600B"/>
    <w:rsid w:val="00F360C3"/>
    <w:rsid w:val="00F361B6"/>
    <w:rsid w:val="00F3649C"/>
    <w:rsid w:val="00F36622"/>
    <w:rsid w:val="00F3676C"/>
    <w:rsid w:val="00F36775"/>
    <w:rsid w:val="00F367AC"/>
    <w:rsid w:val="00F36883"/>
    <w:rsid w:val="00F368E4"/>
    <w:rsid w:val="00F36E27"/>
    <w:rsid w:val="00F37176"/>
    <w:rsid w:val="00F371F9"/>
    <w:rsid w:val="00F3721A"/>
    <w:rsid w:val="00F37308"/>
    <w:rsid w:val="00F373BB"/>
    <w:rsid w:val="00F3740C"/>
    <w:rsid w:val="00F3759E"/>
    <w:rsid w:val="00F37732"/>
    <w:rsid w:val="00F37810"/>
    <w:rsid w:val="00F379DB"/>
    <w:rsid w:val="00F37CA1"/>
    <w:rsid w:val="00F37D0F"/>
    <w:rsid w:val="00F37E6F"/>
    <w:rsid w:val="00F40036"/>
    <w:rsid w:val="00F40599"/>
    <w:rsid w:val="00F40667"/>
    <w:rsid w:val="00F407CE"/>
    <w:rsid w:val="00F40A00"/>
    <w:rsid w:val="00F40B85"/>
    <w:rsid w:val="00F40BA5"/>
    <w:rsid w:val="00F40F4F"/>
    <w:rsid w:val="00F40F92"/>
    <w:rsid w:val="00F41111"/>
    <w:rsid w:val="00F41426"/>
    <w:rsid w:val="00F41855"/>
    <w:rsid w:val="00F41B01"/>
    <w:rsid w:val="00F41F3E"/>
    <w:rsid w:val="00F41F46"/>
    <w:rsid w:val="00F42023"/>
    <w:rsid w:val="00F4234A"/>
    <w:rsid w:val="00F4234B"/>
    <w:rsid w:val="00F423CF"/>
    <w:rsid w:val="00F4252E"/>
    <w:rsid w:val="00F42555"/>
    <w:rsid w:val="00F4257C"/>
    <w:rsid w:val="00F425AD"/>
    <w:rsid w:val="00F427DB"/>
    <w:rsid w:val="00F4290E"/>
    <w:rsid w:val="00F42B6F"/>
    <w:rsid w:val="00F42EB5"/>
    <w:rsid w:val="00F42F22"/>
    <w:rsid w:val="00F42F71"/>
    <w:rsid w:val="00F42FED"/>
    <w:rsid w:val="00F4307B"/>
    <w:rsid w:val="00F430D5"/>
    <w:rsid w:val="00F43269"/>
    <w:rsid w:val="00F433D2"/>
    <w:rsid w:val="00F43414"/>
    <w:rsid w:val="00F43575"/>
    <w:rsid w:val="00F43630"/>
    <w:rsid w:val="00F43A25"/>
    <w:rsid w:val="00F43CDA"/>
    <w:rsid w:val="00F43F1C"/>
    <w:rsid w:val="00F4471A"/>
    <w:rsid w:val="00F447E3"/>
    <w:rsid w:val="00F44854"/>
    <w:rsid w:val="00F44A54"/>
    <w:rsid w:val="00F44C07"/>
    <w:rsid w:val="00F44D16"/>
    <w:rsid w:val="00F44ECF"/>
    <w:rsid w:val="00F451AE"/>
    <w:rsid w:val="00F451C5"/>
    <w:rsid w:val="00F453D8"/>
    <w:rsid w:val="00F454FE"/>
    <w:rsid w:val="00F45571"/>
    <w:rsid w:val="00F455DD"/>
    <w:rsid w:val="00F45763"/>
    <w:rsid w:val="00F458EC"/>
    <w:rsid w:val="00F45A9C"/>
    <w:rsid w:val="00F45B08"/>
    <w:rsid w:val="00F45B2A"/>
    <w:rsid w:val="00F45E10"/>
    <w:rsid w:val="00F45F9A"/>
    <w:rsid w:val="00F460AC"/>
    <w:rsid w:val="00F46139"/>
    <w:rsid w:val="00F466E6"/>
    <w:rsid w:val="00F46A9D"/>
    <w:rsid w:val="00F46F7C"/>
    <w:rsid w:val="00F471EB"/>
    <w:rsid w:val="00F47330"/>
    <w:rsid w:val="00F474F6"/>
    <w:rsid w:val="00F47631"/>
    <w:rsid w:val="00F478B7"/>
    <w:rsid w:val="00F47983"/>
    <w:rsid w:val="00F47B14"/>
    <w:rsid w:val="00F47DB3"/>
    <w:rsid w:val="00F47F1A"/>
    <w:rsid w:val="00F5007D"/>
    <w:rsid w:val="00F5067E"/>
    <w:rsid w:val="00F50761"/>
    <w:rsid w:val="00F50783"/>
    <w:rsid w:val="00F50823"/>
    <w:rsid w:val="00F50B14"/>
    <w:rsid w:val="00F50EB1"/>
    <w:rsid w:val="00F5104C"/>
    <w:rsid w:val="00F5117B"/>
    <w:rsid w:val="00F51219"/>
    <w:rsid w:val="00F513A5"/>
    <w:rsid w:val="00F51636"/>
    <w:rsid w:val="00F516F8"/>
    <w:rsid w:val="00F51FF8"/>
    <w:rsid w:val="00F5200E"/>
    <w:rsid w:val="00F52250"/>
    <w:rsid w:val="00F5226A"/>
    <w:rsid w:val="00F522D9"/>
    <w:rsid w:val="00F5238D"/>
    <w:rsid w:val="00F5249F"/>
    <w:rsid w:val="00F52764"/>
    <w:rsid w:val="00F52814"/>
    <w:rsid w:val="00F5287F"/>
    <w:rsid w:val="00F5289B"/>
    <w:rsid w:val="00F528CC"/>
    <w:rsid w:val="00F52AA3"/>
    <w:rsid w:val="00F53212"/>
    <w:rsid w:val="00F534FF"/>
    <w:rsid w:val="00F535AC"/>
    <w:rsid w:val="00F5361A"/>
    <w:rsid w:val="00F536C3"/>
    <w:rsid w:val="00F539D5"/>
    <w:rsid w:val="00F53A6E"/>
    <w:rsid w:val="00F53ADD"/>
    <w:rsid w:val="00F53F80"/>
    <w:rsid w:val="00F5401A"/>
    <w:rsid w:val="00F54560"/>
    <w:rsid w:val="00F546C0"/>
    <w:rsid w:val="00F546F3"/>
    <w:rsid w:val="00F54971"/>
    <w:rsid w:val="00F54A4E"/>
    <w:rsid w:val="00F54A8D"/>
    <w:rsid w:val="00F54AE3"/>
    <w:rsid w:val="00F54C33"/>
    <w:rsid w:val="00F54CF4"/>
    <w:rsid w:val="00F5500A"/>
    <w:rsid w:val="00F55175"/>
    <w:rsid w:val="00F5531C"/>
    <w:rsid w:val="00F55499"/>
    <w:rsid w:val="00F55581"/>
    <w:rsid w:val="00F55A49"/>
    <w:rsid w:val="00F55BBF"/>
    <w:rsid w:val="00F55E15"/>
    <w:rsid w:val="00F55E55"/>
    <w:rsid w:val="00F55EC8"/>
    <w:rsid w:val="00F55F1B"/>
    <w:rsid w:val="00F55F4F"/>
    <w:rsid w:val="00F56036"/>
    <w:rsid w:val="00F56090"/>
    <w:rsid w:val="00F560E6"/>
    <w:rsid w:val="00F56148"/>
    <w:rsid w:val="00F562E9"/>
    <w:rsid w:val="00F568F0"/>
    <w:rsid w:val="00F56AD7"/>
    <w:rsid w:val="00F56B66"/>
    <w:rsid w:val="00F56D02"/>
    <w:rsid w:val="00F571CE"/>
    <w:rsid w:val="00F5720C"/>
    <w:rsid w:val="00F572DE"/>
    <w:rsid w:val="00F573A7"/>
    <w:rsid w:val="00F57692"/>
    <w:rsid w:val="00F579C7"/>
    <w:rsid w:val="00F57CB6"/>
    <w:rsid w:val="00F57DB9"/>
    <w:rsid w:val="00F57ED3"/>
    <w:rsid w:val="00F57F15"/>
    <w:rsid w:val="00F57FB1"/>
    <w:rsid w:val="00F57FE8"/>
    <w:rsid w:val="00F600C1"/>
    <w:rsid w:val="00F601F4"/>
    <w:rsid w:val="00F602DC"/>
    <w:rsid w:val="00F60A28"/>
    <w:rsid w:val="00F60A41"/>
    <w:rsid w:val="00F60AA6"/>
    <w:rsid w:val="00F60BB8"/>
    <w:rsid w:val="00F60D1D"/>
    <w:rsid w:val="00F6125E"/>
    <w:rsid w:val="00F61447"/>
    <w:rsid w:val="00F614B6"/>
    <w:rsid w:val="00F614C3"/>
    <w:rsid w:val="00F6176A"/>
    <w:rsid w:val="00F6186B"/>
    <w:rsid w:val="00F61AFC"/>
    <w:rsid w:val="00F61E96"/>
    <w:rsid w:val="00F61EBF"/>
    <w:rsid w:val="00F61F09"/>
    <w:rsid w:val="00F61F9A"/>
    <w:rsid w:val="00F6228C"/>
    <w:rsid w:val="00F622CD"/>
    <w:rsid w:val="00F6230F"/>
    <w:rsid w:val="00F62362"/>
    <w:rsid w:val="00F623FF"/>
    <w:rsid w:val="00F6274F"/>
    <w:rsid w:val="00F627E3"/>
    <w:rsid w:val="00F62AA6"/>
    <w:rsid w:val="00F62B0D"/>
    <w:rsid w:val="00F62C16"/>
    <w:rsid w:val="00F63244"/>
    <w:rsid w:val="00F632CA"/>
    <w:rsid w:val="00F63307"/>
    <w:rsid w:val="00F63505"/>
    <w:rsid w:val="00F635BF"/>
    <w:rsid w:val="00F6371F"/>
    <w:rsid w:val="00F6378B"/>
    <w:rsid w:val="00F63811"/>
    <w:rsid w:val="00F6382C"/>
    <w:rsid w:val="00F63945"/>
    <w:rsid w:val="00F63F5B"/>
    <w:rsid w:val="00F641F6"/>
    <w:rsid w:val="00F647D0"/>
    <w:rsid w:val="00F649AC"/>
    <w:rsid w:val="00F649AF"/>
    <w:rsid w:val="00F64A5A"/>
    <w:rsid w:val="00F64CE2"/>
    <w:rsid w:val="00F64D9E"/>
    <w:rsid w:val="00F64E88"/>
    <w:rsid w:val="00F64F77"/>
    <w:rsid w:val="00F65191"/>
    <w:rsid w:val="00F653C9"/>
    <w:rsid w:val="00F65686"/>
    <w:rsid w:val="00F657E5"/>
    <w:rsid w:val="00F65803"/>
    <w:rsid w:val="00F65949"/>
    <w:rsid w:val="00F65AE9"/>
    <w:rsid w:val="00F65C4E"/>
    <w:rsid w:val="00F65CBF"/>
    <w:rsid w:val="00F65DD9"/>
    <w:rsid w:val="00F65E98"/>
    <w:rsid w:val="00F66078"/>
    <w:rsid w:val="00F660A7"/>
    <w:rsid w:val="00F660B3"/>
    <w:rsid w:val="00F6616A"/>
    <w:rsid w:val="00F6618E"/>
    <w:rsid w:val="00F662FF"/>
    <w:rsid w:val="00F6638C"/>
    <w:rsid w:val="00F66414"/>
    <w:rsid w:val="00F66425"/>
    <w:rsid w:val="00F66547"/>
    <w:rsid w:val="00F6668E"/>
    <w:rsid w:val="00F669EA"/>
    <w:rsid w:val="00F66A1B"/>
    <w:rsid w:val="00F66CC5"/>
    <w:rsid w:val="00F66F32"/>
    <w:rsid w:val="00F66FB9"/>
    <w:rsid w:val="00F670D9"/>
    <w:rsid w:val="00F670F4"/>
    <w:rsid w:val="00F67163"/>
    <w:rsid w:val="00F6730D"/>
    <w:rsid w:val="00F673D7"/>
    <w:rsid w:val="00F673E6"/>
    <w:rsid w:val="00F675A4"/>
    <w:rsid w:val="00F675C5"/>
    <w:rsid w:val="00F676D7"/>
    <w:rsid w:val="00F67734"/>
    <w:rsid w:val="00F678A9"/>
    <w:rsid w:val="00F6797F"/>
    <w:rsid w:val="00F679DC"/>
    <w:rsid w:val="00F67A5E"/>
    <w:rsid w:val="00F67B9C"/>
    <w:rsid w:val="00F67E45"/>
    <w:rsid w:val="00F67F53"/>
    <w:rsid w:val="00F67F83"/>
    <w:rsid w:val="00F700CB"/>
    <w:rsid w:val="00F70292"/>
    <w:rsid w:val="00F702E3"/>
    <w:rsid w:val="00F7058B"/>
    <w:rsid w:val="00F707D9"/>
    <w:rsid w:val="00F709ED"/>
    <w:rsid w:val="00F70C4A"/>
    <w:rsid w:val="00F70C70"/>
    <w:rsid w:val="00F70D5B"/>
    <w:rsid w:val="00F70D70"/>
    <w:rsid w:val="00F70F1E"/>
    <w:rsid w:val="00F70FA0"/>
    <w:rsid w:val="00F712F6"/>
    <w:rsid w:val="00F715B8"/>
    <w:rsid w:val="00F716DE"/>
    <w:rsid w:val="00F71836"/>
    <w:rsid w:val="00F718E0"/>
    <w:rsid w:val="00F71B7B"/>
    <w:rsid w:val="00F71C55"/>
    <w:rsid w:val="00F71CB7"/>
    <w:rsid w:val="00F71D20"/>
    <w:rsid w:val="00F71DD3"/>
    <w:rsid w:val="00F71EF1"/>
    <w:rsid w:val="00F721D4"/>
    <w:rsid w:val="00F723A8"/>
    <w:rsid w:val="00F725F2"/>
    <w:rsid w:val="00F72624"/>
    <w:rsid w:val="00F72635"/>
    <w:rsid w:val="00F726DD"/>
    <w:rsid w:val="00F72704"/>
    <w:rsid w:val="00F7286C"/>
    <w:rsid w:val="00F729F7"/>
    <w:rsid w:val="00F72A29"/>
    <w:rsid w:val="00F72B82"/>
    <w:rsid w:val="00F72EE1"/>
    <w:rsid w:val="00F73247"/>
    <w:rsid w:val="00F733FA"/>
    <w:rsid w:val="00F7353A"/>
    <w:rsid w:val="00F738D0"/>
    <w:rsid w:val="00F73B5D"/>
    <w:rsid w:val="00F73BCA"/>
    <w:rsid w:val="00F73C49"/>
    <w:rsid w:val="00F73E0B"/>
    <w:rsid w:val="00F73E21"/>
    <w:rsid w:val="00F73FB4"/>
    <w:rsid w:val="00F73FD8"/>
    <w:rsid w:val="00F74018"/>
    <w:rsid w:val="00F74178"/>
    <w:rsid w:val="00F742AD"/>
    <w:rsid w:val="00F748EB"/>
    <w:rsid w:val="00F74B46"/>
    <w:rsid w:val="00F74BA5"/>
    <w:rsid w:val="00F751E3"/>
    <w:rsid w:val="00F7527A"/>
    <w:rsid w:val="00F756CF"/>
    <w:rsid w:val="00F759FD"/>
    <w:rsid w:val="00F75A54"/>
    <w:rsid w:val="00F75C3C"/>
    <w:rsid w:val="00F75CFA"/>
    <w:rsid w:val="00F75E59"/>
    <w:rsid w:val="00F75E79"/>
    <w:rsid w:val="00F75F50"/>
    <w:rsid w:val="00F7601B"/>
    <w:rsid w:val="00F7640C"/>
    <w:rsid w:val="00F76433"/>
    <w:rsid w:val="00F764B5"/>
    <w:rsid w:val="00F767A9"/>
    <w:rsid w:val="00F76833"/>
    <w:rsid w:val="00F76995"/>
    <w:rsid w:val="00F76ACF"/>
    <w:rsid w:val="00F76C94"/>
    <w:rsid w:val="00F76E1B"/>
    <w:rsid w:val="00F76EC5"/>
    <w:rsid w:val="00F7716E"/>
    <w:rsid w:val="00F77574"/>
    <w:rsid w:val="00F7760B"/>
    <w:rsid w:val="00F77700"/>
    <w:rsid w:val="00F77867"/>
    <w:rsid w:val="00F77979"/>
    <w:rsid w:val="00F77AED"/>
    <w:rsid w:val="00F77BCB"/>
    <w:rsid w:val="00F77C0C"/>
    <w:rsid w:val="00F77F7B"/>
    <w:rsid w:val="00F800FF"/>
    <w:rsid w:val="00F8021D"/>
    <w:rsid w:val="00F80250"/>
    <w:rsid w:val="00F802EE"/>
    <w:rsid w:val="00F8055C"/>
    <w:rsid w:val="00F807EB"/>
    <w:rsid w:val="00F80940"/>
    <w:rsid w:val="00F809C4"/>
    <w:rsid w:val="00F80A7A"/>
    <w:rsid w:val="00F80B31"/>
    <w:rsid w:val="00F80CA6"/>
    <w:rsid w:val="00F80CE3"/>
    <w:rsid w:val="00F811B6"/>
    <w:rsid w:val="00F8159A"/>
    <w:rsid w:val="00F81A8F"/>
    <w:rsid w:val="00F81B5B"/>
    <w:rsid w:val="00F81D07"/>
    <w:rsid w:val="00F8201B"/>
    <w:rsid w:val="00F82089"/>
    <w:rsid w:val="00F82249"/>
    <w:rsid w:val="00F8268A"/>
    <w:rsid w:val="00F8269B"/>
    <w:rsid w:val="00F82F63"/>
    <w:rsid w:val="00F83005"/>
    <w:rsid w:val="00F831B4"/>
    <w:rsid w:val="00F83622"/>
    <w:rsid w:val="00F83663"/>
    <w:rsid w:val="00F837B5"/>
    <w:rsid w:val="00F83C0F"/>
    <w:rsid w:val="00F8404D"/>
    <w:rsid w:val="00F840C6"/>
    <w:rsid w:val="00F8432C"/>
    <w:rsid w:val="00F8438E"/>
    <w:rsid w:val="00F8442E"/>
    <w:rsid w:val="00F84552"/>
    <w:rsid w:val="00F845C6"/>
    <w:rsid w:val="00F8480A"/>
    <w:rsid w:val="00F848DC"/>
    <w:rsid w:val="00F8493E"/>
    <w:rsid w:val="00F84970"/>
    <w:rsid w:val="00F84F77"/>
    <w:rsid w:val="00F84FAA"/>
    <w:rsid w:val="00F85084"/>
    <w:rsid w:val="00F85109"/>
    <w:rsid w:val="00F851F4"/>
    <w:rsid w:val="00F85297"/>
    <w:rsid w:val="00F85375"/>
    <w:rsid w:val="00F858D2"/>
    <w:rsid w:val="00F85A46"/>
    <w:rsid w:val="00F85C55"/>
    <w:rsid w:val="00F85D6C"/>
    <w:rsid w:val="00F85DD9"/>
    <w:rsid w:val="00F85F1B"/>
    <w:rsid w:val="00F86160"/>
    <w:rsid w:val="00F86322"/>
    <w:rsid w:val="00F865AF"/>
    <w:rsid w:val="00F8662C"/>
    <w:rsid w:val="00F8662E"/>
    <w:rsid w:val="00F86831"/>
    <w:rsid w:val="00F86B8C"/>
    <w:rsid w:val="00F86C64"/>
    <w:rsid w:val="00F86D10"/>
    <w:rsid w:val="00F86DAB"/>
    <w:rsid w:val="00F86DCF"/>
    <w:rsid w:val="00F86F32"/>
    <w:rsid w:val="00F871C2"/>
    <w:rsid w:val="00F872A4"/>
    <w:rsid w:val="00F873D4"/>
    <w:rsid w:val="00F87466"/>
    <w:rsid w:val="00F8757E"/>
    <w:rsid w:val="00F87AE9"/>
    <w:rsid w:val="00F87CD6"/>
    <w:rsid w:val="00F87E21"/>
    <w:rsid w:val="00F9012F"/>
    <w:rsid w:val="00F9024F"/>
    <w:rsid w:val="00F90439"/>
    <w:rsid w:val="00F904FC"/>
    <w:rsid w:val="00F906CD"/>
    <w:rsid w:val="00F906F9"/>
    <w:rsid w:val="00F9078B"/>
    <w:rsid w:val="00F907F7"/>
    <w:rsid w:val="00F9086A"/>
    <w:rsid w:val="00F909B5"/>
    <w:rsid w:val="00F90D22"/>
    <w:rsid w:val="00F90EBC"/>
    <w:rsid w:val="00F9110A"/>
    <w:rsid w:val="00F91178"/>
    <w:rsid w:val="00F911A7"/>
    <w:rsid w:val="00F911B3"/>
    <w:rsid w:val="00F91552"/>
    <w:rsid w:val="00F9170A"/>
    <w:rsid w:val="00F91936"/>
    <w:rsid w:val="00F919CF"/>
    <w:rsid w:val="00F91D82"/>
    <w:rsid w:val="00F91DFF"/>
    <w:rsid w:val="00F91F07"/>
    <w:rsid w:val="00F92139"/>
    <w:rsid w:val="00F9226B"/>
    <w:rsid w:val="00F923A6"/>
    <w:rsid w:val="00F923E1"/>
    <w:rsid w:val="00F92473"/>
    <w:rsid w:val="00F92484"/>
    <w:rsid w:val="00F92507"/>
    <w:rsid w:val="00F92640"/>
    <w:rsid w:val="00F92688"/>
    <w:rsid w:val="00F9279E"/>
    <w:rsid w:val="00F92972"/>
    <w:rsid w:val="00F92B42"/>
    <w:rsid w:val="00F92B47"/>
    <w:rsid w:val="00F92CD2"/>
    <w:rsid w:val="00F92E09"/>
    <w:rsid w:val="00F92EAE"/>
    <w:rsid w:val="00F92F8C"/>
    <w:rsid w:val="00F93097"/>
    <w:rsid w:val="00F93184"/>
    <w:rsid w:val="00F9338C"/>
    <w:rsid w:val="00F93638"/>
    <w:rsid w:val="00F936D5"/>
    <w:rsid w:val="00F9375E"/>
    <w:rsid w:val="00F938CE"/>
    <w:rsid w:val="00F93A55"/>
    <w:rsid w:val="00F93E7E"/>
    <w:rsid w:val="00F93E96"/>
    <w:rsid w:val="00F93FB8"/>
    <w:rsid w:val="00F94193"/>
    <w:rsid w:val="00F941FD"/>
    <w:rsid w:val="00F94240"/>
    <w:rsid w:val="00F94591"/>
    <w:rsid w:val="00F9467A"/>
    <w:rsid w:val="00F94688"/>
    <w:rsid w:val="00F946E2"/>
    <w:rsid w:val="00F94784"/>
    <w:rsid w:val="00F947AB"/>
    <w:rsid w:val="00F947B3"/>
    <w:rsid w:val="00F947D7"/>
    <w:rsid w:val="00F94AAD"/>
    <w:rsid w:val="00F94AB7"/>
    <w:rsid w:val="00F94D73"/>
    <w:rsid w:val="00F95251"/>
    <w:rsid w:val="00F95277"/>
    <w:rsid w:val="00F9531D"/>
    <w:rsid w:val="00F95468"/>
    <w:rsid w:val="00F954E6"/>
    <w:rsid w:val="00F95527"/>
    <w:rsid w:val="00F9557C"/>
    <w:rsid w:val="00F95727"/>
    <w:rsid w:val="00F95799"/>
    <w:rsid w:val="00F957AB"/>
    <w:rsid w:val="00F95905"/>
    <w:rsid w:val="00F959AA"/>
    <w:rsid w:val="00F95A74"/>
    <w:rsid w:val="00F95B01"/>
    <w:rsid w:val="00F95B20"/>
    <w:rsid w:val="00F95C1E"/>
    <w:rsid w:val="00F95C21"/>
    <w:rsid w:val="00F95C94"/>
    <w:rsid w:val="00F96111"/>
    <w:rsid w:val="00F965BD"/>
    <w:rsid w:val="00F96617"/>
    <w:rsid w:val="00F966D7"/>
    <w:rsid w:val="00F966E1"/>
    <w:rsid w:val="00F9675E"/>
    <w:rsid w:val="00F9695C"/>
    <w:rsid w:val="00F9697C"/>
    <w:rsid w:val="00F96BEA"/>
    <w:rsid w:val="00F96CC8"/>
    <w:rsid w:val="00F96DA5"/>
    <w:rsid w:val="00F97155"/>
    <w:rsid w:val="00F972C0"/>
    <w:rsid w:val="00F972DF"/>
    <w:rsid w:val="00F97466"/>
    <w:rsid w:val="00F9747A"/>
    <w:rsid w:val="00F97518"/>
    <w:rsid w:val="00F9758C"/>
    <w:rsid w:val="00F97873"/>
    <w:rsid w:val="00F979D2"/>
    <w:rsid w:val="00F97B9B"/>
    <w:rsid w:val="00F97D34"/>
    <w:rsid w:val="00F97DCF"/>
    <w:rsid w:val="00F97F6A"/>
    <w:rsid w:val="00F97FF2"/>
    <w:rsid w:val="00FA0053"/>
    <w:rsid w:val="00FA014E"/>
    <w:rsid w:val="00FA01CE"/>
    <w:rsid w:val="00FA023D"/>
    <w:rsid w:val="00FA04F6"/>
    <w:rsid w:val="00FA0564"/>
    <w:rsid w:val="00FA0605"/>
    <w:rsid w:val="00FA084C"/>
    <w:rsid w:val="00FA0884"/>
    <w:rsid w:val="00FA09C7"/>
    <w:rsid w:val="00FA0AC1"/>
    <w:rsid w:val="00FA0B00"/>
    <w:rsid w:val="00FA0DC1"/>
    <w:rsid w:val="00FA0EB8"/>
    <w:rsid w:val="00FA0F03"/>
    <w:rsid w:val="00FA101D"/>
    <w:rsid w:val="00FA10DB"/>
    <w:rsid w:val="00FA14D1"/>
    <w:rsid w:val="00FA14E1"/>
    <w:rsid w:val="00FA1505"/>
    <w:rsid w:val="00FA156D"/>
    <w:rsid w:val="00FA1597"/>
    <w:rsid w:val="00FA17D2"/>
    <w:rsid w:val="00FA182F"/>
    <w:rsid w:val="00FA19CD"/>
    <w:rsid w:val="00FA1A86"/>
    <w:rsid w:val="00FA1B8A"/>
    <w:rsid w:val="00FA1D11"/>
    <w:rsid w:val="00FA1E97"/>
    <w:rsid w:val="00FA1EF2"/>
    <w:rsid w:val="00FA1FC1"/>
    <w:rsid w:val="00FA2006"/>
    <w:rsid w:val="00FA218F"/>
    <w:rsid w:val="00FA21BD"/>
    <w:rsid w:val="00FA25D2"/>
    <w:rsid w:val="00FA25EC"/>
    <w:rsid w:val="00FA278E"/>
    <w:rsid w:val="00FA27DE"/>
    <w:rsid w:val="00FA2834"/>
    <w:rsid w:val="00FA2841"/>
    <w:rsid w:val="00FA2949"/>
    <w:rsid w:val="00FA2B44"/>
    <w:rsid w:val="00FA2CA1"/>
    <w:rsid w:val="00FA3001"/>
    <w:rsid w:val="00FA356F"/>
    <w:rsid w:val="00FA35BB"/>
    <w:rsid w:val="00FA3795"/>
    <w:rsid w:val="00FA39EE"/>
    <w:rsid w:val="00FA3C0F"/>
    <w:rsid w:val="00FA3E46"/>
    <w:rsid w:val="00FA3E89"/>
    <w:rsid w:val="00FA416C"/>
    <w:rsid w:val="00FA4358"/>
    <w:rsid w:val="00FA448B"/>
    <w:rsid w:val="00FA4A63"/>
    <w:rsid w:val="00FA4A8B"/>
    <w:rsid w:val="00FA4C23"/>
    <w:rsid w:val="00FA4CC9"/>
    <w:rsid w:val="00FA4DBB"/>
    <w:rsid w:val="00FA5317"/>
    <w:rsid w:val="00FA576D"/>
    <w:rsid w:val="00FA5924"/>
    <w:rsid w:val="00FA5A5F"/>
    <w:rsid w:val="00FA5A74"/>
    <w:rsid w:val="00FA5CA4"/>
    <w:rsid w:val="00FA6512"/>
    <w:rsid w:val="00FA6581"/>
    <w:rsid w:val="00FA66B3"/>
    <w:rsid w:val="00FA67C4"/>
    <w:rsid w:val="00FA6882"/>
    <w:rsid w:val="00FA6ABC"/>
    <w:rsid w:val="00FA6E01"/>
    <w:rsid w:val="00FA7002"/>
    <w:rsid w:val="00FA7076"/>
    <w:rsid w:val="00FA70EB"/>
    <w:rsid w:val="00FA716C"/>
    <w:rsid w:val="00FA722B"/>
    <w:rsid w:val="00FA73AB"/>
    <w:rsid w:val="00FA7437"/>
    <w:rsid w:val="00FA7580"/>
    <w:rsid w:val="00FA76FC"/>
    <w:rsid w:val="00FA7868"/>
    <w:rsid w:val="00FA7D43"/>
    <w:rsid w:val="00FA7DC2"/>
    <w:rsid w:val="00FB00A5"/>
    <w:rsid w:val="00FB0226"/>
    <w:rsid w:val="00FB0363"/>
    <w:rsid w:val="00FB045F"/>
    <w:rsid w:val="00FB04DD"/>
    <w:rsid w:val="00FB05D0"/>
    <w:rsid w:val="00FB065D"/>
    <w:rsid w:val="00FB0BAF"/>
    <w:rsid w:val="00FB0DA7"/>
    <w:rsid w:val="00FB0F56"/>
    <w:rsid w:val="00FB102E"/>
    <w:rsid w:val="00FB1178"/>
    <w:rsid w:val="00FB1CF9"/>
    <w:rsid w:val="00FB2004"/>
    <w:rsid w:val="00FB280F"/>
    <w:rsid w:val="00FB2B50"/>
    <w:rsid w:val="00FB2C42"/>
    <w:rsid w:val="00FB2D4D"/>
    <w:rsid w:val="00FB2DB1"/>
    <w:rsid w:val="00FB2DD7"/>
    <w:rsid w:val="00FB2F35"/>
    <w:rsid w:val="00FB314C"/>
    <w:rsid w:val="00FB325A"/>
    <w:rsid w:val="00FB3668"/>
    <w:rsid w:val="00FB3759"/>
    <w:rsid w:val="00FB3768"/>
    <w:rsid w:val="00FB37D8"/>
    <w:rsid w:val="00FB3AA5"/>
    <w:rsid w:val="00FB3C17"/>
    <w:rsid w:val="00FB3F58"/>
    <w:rsid w:val="00FB3FE5"/>
    <w:rsid w:val="00FB42FE"/>
    <w:rsid w:val="00FB44DF"/>
    <w:rsid w:val="00FB4868"/>
    <w:rsid w:val="00FB4B98"/>
    <w:rsid w:val="00FB4D00"/>
    <w:rsid w:val="00FB4E88"/>
    <w:rsid w:val="00FB5313"/>
    <w:rsid w:val="00FB59B6"/>
    <w:rsid w:val="00FB59F9"/>
    <w:rsid w:val="00FB5A98"/>
    <w:rsid w:val="00FB5BE2"/>
    <w:rsid w:val="00FB601A"/>
    <w:rsid w:val="00FB62BF"/>
    <w:rsid w:val="00FB634C"/>
    <w:rsid w:val="00FB654E"/>
    <w:rsid w:val="00FB66B1"/>
    <w:rsid w:val="00FB6D04"/>
    <w:rsid w:val="00FB6D19"/>
    <w:rsid w:val="00FB6E20"/>
    <w:rsid w:val="00FB7099"/>
    <w:rsid w:val="00FB71BA"/>
    <w:rsid w:val="00FB72C6"/>
    <w:rsid w:val="00FB7376"/>
    <w:rsid w:val="00FB7932"/>
    <w:rsid w:val="00FB7966"/>
    <w:rsid w:val="00FB7E9A"/>
    <w:rsid w:val="00FC024A"/>
    <w:rsid w:val="00FC0270"/>
    <w:rsid w:val="00FC0300"/>
    <w:rsid w:val="00FC0519"/>
    <w:rsid w:val="00FC067E"/>
    <w:rsid w:val="00FC068E"/>
    <w:rsid w:val="00FC0841"/>
    <w:rsid w:val="00FC0A9E"/>
    <w:rsid w:val="00FC0DB4"/>
    <w:rsid w:val="00FC0F45"/>
    <w:rsid w:val="00FC0F78"/>
    <w:rsid w:val="00FC0F9A"/>
    <w:rsid w:val="00FC11D9"/>
    <w:rsid w:val="00FC1252"/>
    <w:rsid w:val="00FC15ED"/>
    <w:rsid w:val="00FC1626"/>
    <w:rsid w:val="00FC16B2"/>
    <w:rsid w:val="00FC176F"/>
    <w:rsid w:val="00FC1A2D"/>
    <w:rsid w:val="00FC1BD5"/>
    <w:rsid w:val="00FC1E46"/>
    <w:rsid w:val="00FC1ED8"/>
    <w:rsid w:val="00FC1FA2"/>
    <w:rsid w:val="00FC20DD"/>
    <w:rsid w:val="00FC2111"/>
    <w:rsid w:val="00FC23BB"/>
    <w:rsid w:val="00FC2403"/>
    <w:rsid w:val="00FC2497"/>
    <w:rsid w:val="00FC257A"/>
    <w:rsid w:val="00FC27F5"/>
    <w:rsid w:val="00FC2EE4"/>
    <w:rsid w:val="00FC2F30"/>
    <w:rsid w:val="00FC30FA"/>
    <w:rsid w:val="00FC314D"/>
    <w:rsid w:val="00FC317B"/>
    <w:rsid w:val="00FC31FA"/>
    <w:rsid w:val="00FC322B"/>
    <w:rsid w:val="00FC346D"/>
    <w:rsid w:val="00FC3504"/>
    <w:rsid w:val="00FC3523"/>
    <w:rsid w:val="00FC3578"/>
    <w:rsid w:val="00FC364F"/>
    <w:rsid w:val="00FC372C"/>
    <w:rsid w:val="00FC3755"/>
    <w:rsid w:val="00FC3898"/>
    <w:rsid w:val="00FC3B1E"/>
    <w:rsid w:val="00FC3B5D"/>
    <w:rsid w:val="00FC3BB4"/>
    <w:rsid w:val="00FC3BC5"/>
    <w:rsid w:val="00FC40C7"/>
    <w:rsid w:val="00FC40FA"/>
    <w:rsid w:val="00FC413E"/>
    <w:rsid w:val="00FC41F1"/>
    <w:rsid w:val="00FC422A"/>
    <w:rsid w:val="00FC43AF"/>
    <w:rsid w:val="00FC443E"/>
    <w:rsid w:val="00FC4702"/>
    <w:rsid w:val="00FC48EA"/>
    <w:rsid w:val="00FC4A5C"/>
    <w:rsid w:val="00FC4CA3"/>
    <w:rsid w:val="00FC4E01"/>
    <w:rsid w:val="00FC4F81"/>
    <w:rsid w:val="00FC5154"/>
    <w:rsid w:val="00FC51CE"/>
    <w:rsid w:val="00FC51E4"/>
    <w:rsid w:val="00FC5439"/>
    <w:rsid w:val="00FC57F5"/>
    <w:rsid w:val="00FC588C"/>
    <w:rsid w:val="00FC5902"/>
    <w:rsid w:val="00FC5991"/>
    <w:rsid w:val="00FC59CA"/>
    <w:rsid w:val="00FC5B1E"/>
    <w:rsid w:val="00FC5B88"/>
    <w:rsid w:val="00FC5D3E"/>
    <w:rsid w:val="00FC5FA6"/>
    <w:rsid w:val="00FC61D3"/>
    <w:rsid w:val="00FC6266"/>
    <w:rsid w:val="00FC6382"/>
    <w:rsid w:val="00FC64FB"/>
    <w:rsid w:val="00FC66A5"/>
    <w:rsid w:val="00FC66B9"/>
    <w:rsid w:val="00FC679C"/>
    <w:rsid w:val="00FC67A8"/>
    <w:rsid w:val="00FC6845"/>
    <w:rsid w:val="00FC6A7D"/>
    <w:rsid w:val="00FC6BAC"/>
    <w:rsid w:val="00FC6C75"/>
    <w:rsid w:val="00FC6D29"/>
    <w:rsid w:val="00FC6D35"/>
    <w:rsid w:val="00FC6EEC"/>
    <w:rsid w:val="00FC6EFF"/>
    <w:rsid w:val="00FC6F17"/>
    <w:rsid w:val="00FC6FAC"/>
    <w:rsid w:val="00FC6FEE"/>
    <w:rsid w:val="00FC7056"/>
    <w:rsid w:val="00FC7114"/>
    <w:rsid w:val="00FC7244"/>
    <w:rsid w:val="00FC761C"/>
    <w:rsid w:val="00FC7754"/>
    <w:rsid w:val="00FC7A49"/>
    <w:rsid w:val="00FC7C73"/>
    <w:rsid w:val="00FC7E08"/>
    <w:rsid w:val="00FC7ECA"/>
    <w:rsid w:val="00FD0020"/>
    <w:rsid w:val="00FD00A3"/>
    <w:rsid w:val="00FD05B3"/>
    <w:rsid w:val="00FD07E4"/>
    <w:rsid w:val="00FD0940"/>
    <w:rsid w:val="00FD0963"/>
    <w:rsid w:val="00FD0BF3"/>
    <w:rsid w:val="00FD0DEF"/>
    <w:rsid w:val="00FD0E3B"/>
    <w:rsid w:val="00FD0E4E"/>
    <w:rsid w:val="00FD0EA1"/>
    <w:rsid w:val="00FD0EA2"/>
    <w:rsid w:val="00FD10CE"/>
    <w:rsid w:val="00FD11F3"/>
    <w:rsid w:val="00FD1298"/>
    <w:rsid w:val="00FD13C7"/>
    <w:rsid w:val="00FD13F9"/>
    <w:rsid w:val="00FD1492"/>
    <w:rsid w:val="00FD19DC"/>
    <w:rsid w:val="00FD1D68"/>
    <w:rsid w:val="00FD1E25"/>
    <w:rsid w:val="00FD1EB6"/>
    <w:rsid w:val="00FD2085"/>
    <w:rsid w:val="00FD21A1"/>
    <w:rsid w:val="00FD24FC"/>
    <w:rsid w:val="00FD251F"/>
    <w:rsid w:val="00FD26CB"/>
    <w:rsid w:val="00FD27CF"/>
    <w:rsid w:val="00FD2A2D"/>
    <w:rsid w:val="00FD2B1E"/>
    <w:rsid w:val="00FD2B3D"/>
    <w:rsid w:val="00FD2BEE"/>
    <w:rsid w:val="00FD2D10"/>
    <w:rsid w:val="00FD2D1D"/>
    <w:rsid w:val="00FD34F3"/>
    <w:rsid w:val="00FD367F"/>
    <w:rsid w:val="00FD36C8"/>
    <w:rsid w:val="00FD38DB"/>
    <w:rsid w:val="00FD38DC"/>
    <w:rsid w:val="00FD3934"/>
    <w:rsid w:val="00FD3CBE"/>
    <w:rsid w:val="00FD4170"/>
    <w:rsid w:val="00FD4202"/>
    <w:rsid w:val="00FD44F1"/>
    <w:rsid w:val="00FD46D3"/>
    <w:rsid w:val="00FD482C"/>
    <w:rsid w:val="00FD4AEE"/>
    <w:rsid w:val="00FD4BA8"/>
    <w:rsid w:val="00FD545D"/>
    <w:rsid w:val="00FD5486"/>
    <w:rsid w:val="00FD55AD"/>
    <w:rsid w:val="00FD570A"/>
    <w:rsid w:val="00FD5753"/>
    <w:rsid w:val="00FD5941"/>
    <w:rsid w:val="00FD5B16"/>
    <w:rsid w:val="00FD5CF9"/>
    <w:rsid w:val="00FD5D25"/>
    <w:rsid w:val="00FD5D8B"/>
    <w:rsid w:val="00FD5DC7"/>
    <w:rsid w:val="00FD5F78"/>
    <w:rsid w:val="00FD5FDD"/>
    <w:rsid w:val="00FD6030"/>
    <w:rsid w:val="00FD617E"/>
    <w:rsid w:val="00FD6200"/>
    <w:rsid w:val="00FD622C"/>
    <w:rsid w:val="00FD623A"/>
    <w:rsid w:val="00FD64BE"/>
    <w:rsid w:val="00FD65C0"/>
    <w:rsid w:val="00FD6638"/>
    <w:rsid w:val="00FD6648"/>
    <w:rsid w:val="00FD6C91"/>
    <w:rsid w:val="00FD6CE1"/>
    <w:rsid w:val="00FD6F2A"/>
    <w:rsid w:val="00FD7283"/>
    <w:rsid w:val="00FD794A"/>
    <w:rsid w:val="00FD7A36"/>
    <w:rsid w:val="00FD7A6C"/>
    <w:rsid w:val="00FD7F5B"/>
    <w:rsid w:val="00FE03CE"/>
    <w:rsid w:val="00FE07BB"/>
    <w:rsid w:val="00FE07EC"/>
    <w:rsid w:val="00FE084B"/>
    <w:rsid w:val="00FE0918"/>
    <w:rsid w:val="00FE0C00"/>
    <w:rsid w:val="00FE0C0B"/>
    <w:rsid w:val="00FE0E5A"/>
    <w:rsid w:val="00FE0EC1"/>
    <w:rsid w:val="00FE12B7"/>
    <w:rsid w:val="00FE1478"/>
    <w:rsid w:val="00FE1482"/>
    <w:rsid w:val="00FE1A49"/>
    <w:rsid w:val="00FE1CD6"/>
    <w:rsid w:val="00FE1D6E"/>
    <w:rsid w:val="00FE20F3"/>
    <w:rsid w:val="00FE219E"/>
    <w:rsid w:val="00FE2226"/>
    <w:rsid w:val="00FE2330"/>
    <w:rsid w:val="00FE2376"/>
    <w:rsid w:val="00FE24C7"/>
    <w:rsid w:val="00FE24FA"/>
    <w:rsid w:val="00FE269A"/>
    <w:rsid w:val="00FE2737"/>
    <w:rsid w:val="00FE296E"/>
    <w:rsid w:val="00FE2AC3"/>
    <w:rsid w:val="00FE2D90"/>
    <w:rsid w:val="00FE2F06"/>
    <w:rsid w:val="00FE3026"/>
    <w:rsid w:val="00FE31E5"/>
    <w:rsid w:val="00FE3366"/>
    <w:rsid w:val="00FE3788"/>
    <w:rsid w:val="00FE3835"/>
    <w:rsid w:val="00FE388B"/>
    <w:rsid w:val="00FE38DF"/>
    <w:rsid w:val="00FE3B36"/>
    <w:rsid w:val="00FE4095"/>
    <w:rsid w:val="00FE40AB"/>
    <w:rsid w:val="00FE40C1"/>
    <w:rsid w:val="00FE4185"/>
    <w:rsid w:val="00FE41E1"/>
    <w:rsid w:val="00FE41E5"/>
    <w:rsid w:val="00FE422F"/>
    <w:rsid w:val="00FE42A7"/>
    <w:rsid w:val="00FE44FB"/>
    <w:rsid w:val="00FE4583"/>
    <w:rsid w:val="00FE4617"/>
    <w:rsid w:val="00FE46A3"/>
    <w:rsid w:val="00FE46EB"/>
    <w:rsid w:val="00FE487B"/>
    <w:rsid w:val="00FE49FB"/>
    <w:rsid w:val="00FE4BDB"/>
    <w:rsid w:val="00FE4EA7"/>
    <w:rsid w:val="00FE5019"/>
    <w:rsid w:val="00FE51B5"/>
    <w:rsid w:val="00FE51E1"/>
    <w:rsid w:val="00FE54DA"/>
    <w:rsid w:val="00FE552E"/>
    <w:rsid w:val="00FE5551"/>
    <w:rsid w:val="00FE5569"/>
    <w:rsid w:val="00FE55FD"/>
    <w:rsid w:val="00FE5897"/>
    <w:rsid w:val="00FE5A56"/>
    <w:rsid w:val="00FE5AB4"/>
    <w:rsid w:val="00FE5D71"/>
    <w:rsid w:val="00FE5DB3"/>
    <w:rsid w:val="00FE5E6E"/>
    <w:rsid w:val="00FE5EE3"/>
    <w:rsid w:val="00FE5FBA"/>
    <w:rsid w:val="00FE5FCF"/>
    <w:rsid w:val="00FE6229"/>
    <w:rsid w:val="00FE62E8"/>
    <w:rsid w:val="00FE6301"/>
    <w:rsid w:val="00FE63C9"/>
    <w:rsid w:val="00FE640F"/>
    <w:rsid w:val="00FE644E"/>
    <w:rsid w:val="00FE65C3"/>
    <w:rsid w:val="00FE65EC"/>
    <w:rsid w:val="00FE66BB"/>
    <w:rsid w:val="00FE67AC"/>
    <w:rsid w:val="00FE68FF"/>
    <w:rsid w:val="00FE6903"/>
    <w:rsid w:val="00FE6960"/>
    <w:rsid w:val="00FE6B7C"/>
    <w:rsid w:val="00FE7397"/>
    <w:rsid w:val="00FE73E4"/>
    <w:rsid w:val="00FE74FB"/>
    <w:rsid w:val="00FE76F9"/>
    <w:rsid w:val="00FE780F"/>
    <w:rsid w:val="00FE7945"/>
    <w:rsid w:val="00FE7948"/>
    <w:rsid w:val="00FE7988"/>
    <w:rsid w:val="00FE7BC3"/>
    <w:rsid w:val="00FE7CAD"/>
    <w:rsid w:val="00FE7D6E"/>
    <w:rsid w:val="00FE7DD4"/>
    <w:rsid w:val="00FE7FC5"/>
    <w:rsid w:val="00FF0071"/>
    <w:rsid w:val="00FF01CC"/>
    <w:rsid w:val="00FF023E"/>
    <w:rsid w:val="00FF039B"/>
    <w:rsid w:val="00FF05B7"/>
    <w:rsid w:val="00FF07BF"/>
    <w:rsid w:val="00FF08B7"/>
    <w:rsid w:val="00FF0984"/>
    <w:rsid w:val="00FF0B55"/>
    <w:rsid w:val="00FF0BE9"/>
    <w:rsid w:val="00FF0CBD"/>
    <w:rsid w:val="00FF0D01"/>
    <w:rsid w:val="00FF0D31"/>
    <w:rsid w:val="00FF0E5A"/>
    <w:rsid w:val="00FF0FC2"/>
    <w:rsid w:val="00FF1021"/>
    <w:rsid w:val="00FF10ED"/>
    <w:rsid w:val="00FF1155"/>
    <w:rsid w:val="00FF1223"/>
    <w:rsid w:val="00FF12B5"/>
    <w:rsid w:val="00FF1411"/>
    <w:rsid w:val="00FF1546"/>
    <w:rsid w:val="00FF16C8"/>
    <w:rsid w:val="00FF1949"/>
    <w:rsid w:val="00FF196E"/>
    <w:rsid w:val="00FF1C15"/>
    <w:rsid w:val="00FF1C33"/>
    <w:rsid w:val="00FF1CAC"/>
    <w:rsid w:val="00FF1E04"/>
    <w:rsid w:val="00FF2283"/>
    <w:rsid w:val="00FF2387"/>
    <w:rsid w:val="00FF247B"/>
    <w:rsid w:val="00FF26FA"/>
    <w:rsid w:val="00FF27CF"/>
    <w:rsid w:val="00FF291D"/>
    <w:rsid w:val="00FF2AD7"/>
    <w:rsid w:val="00FF2B41"/>
    <w:rsid w:val="00FF2B68"/>
    <w:rsid w:val="00FF2C19"/>
    <w:rsid w:val="00FF2CEE"/>
    <w:rsid w:val="00FF2EBB"/>
    <w:rsid w:val="00FF30B5"/>
    <w:rsid w:val="00FF35D8"/>
    <w:rsid w:val="00FF35F5"/>
    <w:rsid w:val="00FF3637"/>
    <w:rsid w:val="00FF379F"/>
    <w:rsid w:val="00FF3826"/>
    <w:rsid w:val="00FF38AE"/>
    <w:rsid w:val="00FF3905"/>
    <w:rsid w:val="00FF395F"/>
    <w:rsid w:val="00FF3D02"/>
    <w:rsid w:val="00FF3E46"/>
    <w:rsid w:val="00FF3ED4"/>
    <w:rsid w:val="00FF418C"/>
    <w:rsid w:val="00FF41D4"/>
    <w:rsid w:val="00FF41FF"/>
    <w:rsid w:val="00FF44CC"/>
    <w:rsid w:val="00FF4572"/>
    <w:rsid w:val="00FF45F8"/>
    <w:rsid w:val="00FF47A0"/>
    <w:rsid w:val="00FF47CF"/>
    <w:rsid w:val="00FF4926"/>
    <w:rsid w:val="00FF4980"/>
    <w:rsid w:val="00FF4B52"/>
    <w:rsid w:val="00FF4CFF"/>
    <w:rsid w:val="00FF4D4A"/>
    <w:rsid w:val="00FF4DB3"/>
    <w:rsid w:val="00FF4DE0"/>
    <w:rsid w:val="00FF5184"/>
    <w:rsid w:val="00FF5409"/>
    <w:rsid w:val="00FF55DF"/>
    <w:rsid w:val="00FF55E5"/>
    <w:rsid w:val="00FF5658"/>
    <w:rsid w:val="00FF5A96"/>
    <w:rsid w:val="00FF5B45"/>
    <w:rsid w:val="00FF5C26"/>
    <w:rsid w:val="00FF5D20"/>
    <w:rsid w:val="00FF5DC5"/>
    <w:rsid w:val="00FF5E2C"/>
    <w:rsid w:val="00FF5EC6"/>
    <w:rsid w:val="00FF6052"/>
    <w:rsid w:val="00FF60DC"/>
    <w:rsid w:val="00FF61F9"/>
    <w:rsid w:val="00FF6239"/>
    <w:rsid w:val="00FF62E4"/>
    <w:rsid w:val="00FF643E"/>
    <w:rsid w:val="00FF64AA"/>
    <w:rsid w:val="00FF6626"/>
    <w:rsid w:val="00FF69CF"/>
    <w:rsid w:val="00FF6A5F"/>
    <w:rsid w:val="00FF6A96"/>
    <w:rsid w:val="00FF6D2F"/>
    <w:rsid w:val="00FF7019"/>
    <w:rsid w:val="00FF7203"/>
    <w:rsid w:val="00FF721F"/>
    <w:rsid w:val="00FF7295"/>
    <w:rsid w:val="00FF73FD"/>
    <w:rsid w:val="00FF7407"/>
    <w:rsid w:val="00FF76DE"/>
    <w:rsid w:val="00FF7A06"/>
    <w:rsid w:val="00FF7ABD"/>
    <w:rsid w:val="00FF7AE5"/>
    <w:rsid w:val="00FF7C2D"/>
    <w:rsid w:val="00FF7DA5"/>
    <w:rsid w:val="00FF7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es-E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13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23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3788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3788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3788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6A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23EA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3788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3788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37883"/>
    <w:rPr>
      <w:rFonts w:asciiTheme="majorHAnsi" w:eastAsiaTheme="majorEastAsia" w:hAnsiTheme="majorHAnsi" w:cstheme="majorBidi"/>
      <w:color w:val="243F60" w:themeColor="accent1" w:themeShade="7F"/>
    </w:rPr>
  </w:style>
  <w:style w:type="character" w:customStyle="1" w:styleId="EncabezadoCar">
    <w:name w:val="Encabezado Car"/>
    <w:basedOn w:val="Fuentedeprrafopredeter"/>
    <w:qFormat/>
  </w:style>
  <w:style w:type="character" w:customStyle="1" w:styleId="PiedepginaCar">
    <w:name w:val="Pie de página Car"/>
    <w:basedOn w:val="Fuentedeprrafopredeter"/>
    <w:uiPriority w:val="99"/>
    <w:qFormat/>
  </w:style>
  <w:style w:type="character" w:customStyle="1" w:styleId="ListLabel1">
    <w:name w:val="ListLabel 1"/>
    <w:qFormat/>
    <w:rsid w:val="00C54AE0"/>
    <w:rPr>
      <w:rFonts w:ascii="Times New Roman" w:eastAsia="Calibri" w:hAnsi="Times New Roman" w:cs="Times New Roman"/>
      <w:b/>
      <w:sz w:val="24"/>
    </w:rPr>
  </w:style>
  <w:style w:type="character" w:customStyle="1" w:styleId="ListLabel2">
    <w:name w:val="ListLabel 2"/>
    <w:qFormat/>
    <w:rsid w:val="00C54AE0"/>
    <w:rPr>
      <w:rFonts w:ascii="Times New Roman" w:hAnsi="Times New Roman" w:cs="Courier New"/>
      <w:sz w:val="24"/>
    </w:rPr>
  </w:style>
  <w:style w:type="character" w:customStyle="1" w:styleId="WWCharLFO2LVL1">
    <w:name w:val="WW_CharLFO2LVL1"/>
    <w:qFormat/>
    <w:rPr>
      <w:rFonts w:ascii="Times New Roman" w:eastAsia="Calibri" w:hAnsi="Times New Roman" w:cs="Times New Roman"/>
    </w:rPr>
  </w:style>
  <w:style w:type="character" w:customStyle="1" w:styleId="WWCharLFO2LVL2">
    <w:name w:val="WW_CharLFO2LVL2"/>
    <w:qFormat/>
    <w:rPr>
      <w:rFonts w:ascii="Times New Roman" w:hAnsi="Times New Roman" w:cs="Courier New"/>
    </w:rPr>
  </w:style>
  <w:style w:type="character" w:customStyle="1" w:styleId="WWCharLFO2LVL5">
    <w:name w:val="WW_CharLFO2LVL5"/>
    <w:qFormat/>
    <w:rPr>
      <w:rFonts w:ascii="Times New Roman" w:hAnsi="Times New Roman" w:cs="Courier New"/>
    </w:rPr>
  </w:style>
  <w:style w:type="character" w:customStyle="1" w:styleId="WWCharLFO2LVL8">
    <w:name w:val="WW_CharLFO2LVL8"/>
    <w:qFormat/>
    <w:rPr>
      <w:rFonts w:ascii="Times New Roman" w:hAnsi="Times New Roman" w:cs="Courier New"/>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1">
    <w:name w:val="WW_CharLFO6LVL1"/>
    <w:qFormat/>
    <w:rPr>
      <w:rFonts w:ascii="Times New Roman" w:hAnsi="Times New Roman" w:cs="Times New Roman"/>
      <w:b/>
      <w:sz w:val="24"/>
    </w:rPr>
  </w:style>
  <w:style w:type="paragraph" w:customStyle="1" w:styleId="LO-Normal">
    <w:name w:val="LO-Normal"/>
    <w:qFormat/>
    <w:pPr>
      <w:keepNext/>
      <w:widowControl w:val="0"/>
      <w:shd w:val="clear" w:color="auto" w:fill="FFFFFF"/>
      <w:suppressAutoHyphens/>
      <w:spacing w:after="200"/>
    </w:pPr>
  </w:style>
  <w:style w:type="paragraph" w:styleId="Encabezado">
    <w:name w:val="header"/>
    <w:basedOn w:val="Normal"/>
    <w:qFormat/>
    <w:pPr>
      <w:tabs>
        <w:tab w:val="center" w:pos="4252"/>
        <w:tab w:val="right" w:pos="8504"/>
      </w:tabs>
      <w:spacing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Mangal"/>
      <w:sz w:val="24"/>
    </w:rPr>
  </w:style>
  <w:style w:type="paragraph" w:customStyle="1" w:styleId="Descripcin1">
    <w:name w:val="Descripción1"/>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sz w:val="24"/>
    </w:rPr>
  </w:style>
  <w:style w:type="paragraph" w:styleId="Prrafodelista">
    <w:name w:val="List Paragraph"/>
    <w:basedOn w:val="Normal"/>
    <w:qFormat/>
    <w:pPr>
      <w:ind w:left="720"/>
    </w:pPr>
  </w:style>
  <w:style w:type="paragraph" w:styleId="Piedepgina">
    <w:name w:val="footer"/>
    <w:basedOn w:val="Normal"/>
    <w:uiPriority w:val="99"/>
    <w:pPr>
      <w:tabs>
        <w:tab w:val="center" w:pos="4252"/>
        <w:tab w:val="right" w:pos="8504"/>
      </w:tabs>
      <w:spacing w:line="240" w:lineRule="auto"/>
    </w:pPr>
  </w:style>
  <w:style w:type="paragraph" w:customStyle="1" w:styleId="Contenidodelatabla">
    <w:name w:val="Contenido de la tabla"/>
    <w:basedOn w:val="Normal"/>
    <w:qFormat/>
    <w:pPr>
      <w:suppressLineNumbers/>
    </w:pPr>
  </w:style>
  <w:style w:type="paragraph" w:styleId="Textonotapie">
    <w:name w:val="footnote text"/>
    <w:basedOn w:val="Normal"/>
    <w:link w:val="TextonotapieCar"/>
    <w:uiPriority w:val="99"/>
    <w:unhideWhenUsed/>
    <w:rsid w:val="001F7E75"/>
    <w:pPr>
      <w:spacing w:line="240" w:lineRule="auto"/>
    </w:pPr>
    <w:rPr>
      <w:sz w:val="20"/>
      <w:szCs w:val="20"/>
    </w:rPr>
  </w:style>
  <w:style w:type="character" w:customStyle="1" w:styleId="TextonotapieCar">
    <w:name w:val="Texto nota pie Car"/>
    <w:basedOn w:val="Fuentedeprrafopredeter"/>
    <w:link w:val="Textonotapie"/>
    <w:uiPriority w:val="99"/>
    <w:rsid w:val="001F7E75"/>
    <w:rPr>
      <w:sz w:val="20"/>
      <w:szCs w:val="20"/>
    </w:rPr>
  </w:style>
  <w:style w:type="character" w:styleId="Refdenotaalpie">
    <w:name w:val="footnote reference"/>
    <w:basedOn w:val="Fuentedeprrafopredeter"/>
    <w:uiPriority w:val="99"/>
    <w:semiHidden/>
    <w:unhideWhenUsed/>
    <w:rsid w:val="001F7E75"/>
    <w:rPr>
      <w:vertAlign w:val="superscript"/>
    </w:rPr>
  </w:style>
  <w:style w:type="character" w:styleId="Hipervnculo">
    <w:name w:val="Hyperlink"/>
    <w:basedOn w:val="Fuentedeprrafopredeter"/>
    <w:uiPriority w:val="99"/>
    <w:unhideWhenUsed/>
    <w:rsid w:val="001F7E75"/>
    <w:rPr>
      <w:color w:val="0000FF" w:themeColor="hyperlink"/>
      <w:u w:val="single"/>
    </w:rPr>
  </w:style>
  <w:style w:type="paragraph" w:styleId="Textodeglobo">
    <w:name w:val="Balloon Text"/>
    <w:basedOn w:val="Normal"/>
    <w:link w:val="TextodegloboCar"/>
    <w:uiPriority w:val="99"/>
    <w:semiHidden/>
    <w:unhideWhenUsed/>
    <w:rsid w:val="00FA14D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4D1"/>
    <w:rPr>
      <w:rFonts w:ascii="Tahoma" w:hAnsi="Tahoma" w:cs="Tahoma"/>
      <w:sz w:val="16"/>
      <w:szCs w:val="16"/>
    </w:rPr>
  </w:style>
  <w:style w:type="paragraph" w:styleId="Lista2">
    <w:name w:val="List 2"/>
    <w:basedOn w:val="Normal"/>
    <w:uiPriority w:val="99"/>
    <w:unhideWhenUsed/>
    <w:rsid w:val="006136AB"/>
    <w:pPr>
      <w:ind w:left="566" w:hanging="283"/>
      <w:contextualSpacing/>
    </w:pPr>
  </w:style>
  <w:style w:type="paragraph" w:styleId="Lista3">
    <w:name w:val="List 3"/>
    <w:basedOn w:val="Normal"/>
    <w:uiPriority w:val="99"/>
    <w:unhideWhenUsed/>
    <w:rsid w:val="006136AB"/>
    <w:pPr>
      <w:ind w:left="849" w:hanging="283"/>
      <w:contextualSpacing/>
    </w:pPr>
  </w:style>
  <w:style w:type="paragraph" w:styleId="Continuarlista">
    <w:name w:val="List Continue"/>
    <w:basedOn w:val="Normal"/>
    <w:uiPriority w:val="99"/>
    <w:unhideWhenUsed/>
    <w:rsid w:val="006136AB"/>
    <w:pPr>
      <w:spacing w:after="120"/>
      <w:ind w:left="283"/>
      <w:contextualSpacing/>
    </w:pPr>
  </w:style>
  <w:style w:type="character" w:styleId="Hipervnculovisitado">
    <w:name w:val="FollowedHyperlink"/>
    <w:basedOn w:val="Fuentedeprrafopredeter"/>
    <w:uiPriority w:val="99"/>
    <w:semiHidden/>
    <w:unhideWhenUsed/>
    <w:rsid w:val="00A92092"/>
    <w:rPr>
      <w:color w:val="800080" w:themeColor="followedHyperlink"/>
      <w:u w:val="single"/>
    </w:rPr>
  </w:style>
  <w:style w:type="character" w:customStyle="1" w:styleId="Mencinsinresolver1">
    <w:name w:val="Mención sin resolver1"/>
    <w:basedOn w:val="Fuentedeprrafopredeter"/>
    <w:uiPriority w:val="99"/>
    <w:semiHidden/>
    <w:unhideWhenUsed/>
    <w:rsid w:val="00C716E6"/>
    <w:rPr>
      <w:color w:val="808080"/>
      <w:shd w:val="clear" w:color="auto" w:fill="E6E6E6"/>
    </w:rPr>
  </w:style>
  <w:style w:type="character" w:customStyle="1" w:styleId="Mencinsinresolver2">
    <w:name w:val="Mención sin resolver2"/>
    <w:basedOn w:val="Fuentedeprrafopredeter"/>
    <w:uiPriority w:val="99"/>
    <w:semiHidden/>
    <w:unhideWhenUsed/>
    <w:rsid w:val="00511BD4"/>
    <w:rPr>
      <w:color w:val="808080"/>
      <w:shd w:val="clear" w:color="auto" w:fill="E6E6E6"/>
    </w:rPr>
  </w:style>
  <w:style w:type="character" w:customStyle="1" w:styleId="Mencinsinresolver3">
    <w:name w:val="Mención sin resolver3"/>
    <w:basedOn w:val="Fuentedeprrafopredeter"/>
    <w:uiPriority w:val="99"/>
    <w:semiHidden/>
    <w:unhideWhenUsed/>
    <w:rsid w:val="00E76C46"/>
    <w:rPr>
      <w:color w:val="808080"/>
      <w:shd w:val="clear" w:color="auto" w:fill="E6E6E6"/>
    </w:rPr>
  </w:style>
  <w:style w:type="paragraph" w:styleId="TtulodeTDC">
    <w:name w:val="TOC Heading"/>
    <w:basedOn w:val="Ttulo1"/>
    <w:next w:val="Normal"/>
    <w:uiPriority w:val="39"/>
    <w:unhideWhenUsed/>
    <w:qFormat/>
    <w:rsid w:val="00E30FE0"/>
    <w:pPr>
      <w:spacing w:before="240" w:line="259" w:lineRule="auto"/>
      <w:ind w:firstLine="0"/>
      <w:jc w:val="left"/>
      <w:outlineLvl w:val="9"/>
    </w:pPr>
    <w:rPr>
      <w:b w:val="0"/>
      <w:bCs w:val="0"/>
      <w:sz w:val="32"/>
      <w:szCs w:val="32"/>
      <w:lang w:eastAsia="es-ES"/>
    </w:rPr>
  </w:style>
  <w:style w:type="paragraph" w:styleId="TDC1">
    <w:name w:val="toc 1"/>
    <w:basedOn w:val="Normal"/>
    <w:next w:val="Normal"/>
    <w:autoRedefine/>
    <w:uiPriority w:val="39"/>
    <w:unhideWhenUsed/>
    <w:rsid w:val="003A5BD8"/>
    <w:pPr>
      <w:tabs>
        <w:tab w:val="right" w:leader="dot" w:pos="9016"/>
      </w:tabs>
      <w:spacing w:after="100"/>
      <w:ind w:firstLine="0"/>
    </w:pPr>
    <w:rPr>
      <w:rFonts w:ascii="Times New Roman" w:hAnsi="Times New Roman" w:cs="Times New Roman"/>
      <w:b/>
      <w:noProof/>
      <w:sz w:val="24"/>
      <w:szCs w:val="24"/>
      <w:lang w:val="en-US"/>
    </w:rPr>
  </w:style>
  <w:style w:type="paragraph" w:styleId="TDC2">
    <w:name w:val="toc 2"/>
    <w:basedOn w:val="Normal"/>
    <w:next w:val="Normal"/>
    <w:autoRedefine/>
    <w:uiPriority w:val="39"/>
    <w:unhideWhenUsed/>
    <w:rsid w:val="00A44FB0"/>
    <w:pPr>
      <w:tabs>
        <w:tab w:val="right" w:leader="dot" w:pos="9016"/>
      </w:tabs>
      <w:spacing w:after="100"/>
      <w:ind w:left="220"/>
    </w:pPr>
    <w:rPr>
      <w:rFonts w:ascii="Times New Roman" w:hAnsi="Times New Roman" w:cs="Times New Roman"/>
      <w:noProof/>
      <w:sz w:val="24"/>
      <w:szCs w:val="24"/>
    </w:rPr>
  </w:style>
  <w:style w:type="paragraph" w:styleId="TDC3">
    <w:name w:val="toc 3"/>
    <w:basedOn w:val="Normal"/>
    <w:next w:val="Normal"/>
    <w:autoRedefine/>
    <w:uiPriority w:val="39"/>
    <w:unhideWhenUsed/>
    <w:rsid w:val="008605D4"/>
    <w:pPr>
      <w:tabs>
        <w:tab w:val="right" w:leader="dot" w:pos="9016"/>
      </w:tabs>
      <w:spacing w:after="100"/>
      <w:ind w:left="440"/>
    </w:pPr>
    <w:rPr>
      <w:rFonts w:ascii="Times New Roman" w:hAnsi="Times New Roman" w:cs="Times New Roman"/>
      <w:b/>
      <w:noProof/>
      <w:sz w:val="24"/>
      <w:szCs w:val="24"/>
    </w:rPr>
  </w:style>
  <w:style w:type="character" w:customStyle="1" w:styleId="UnresolvedMention">
    <w:name w:val="Unresolved Mention"/>
    <w:basedOn w:val="Fuentedeprrafopredeter"/>
    <w:uiPriority w:val="99"/>
    <w:semiHidden/>
    <w:unhideWhenUsed/>
    <w:rsid w:val="00E27E68"/>
    <w:rPr>
      <w:color w:val="605E5C"/>
      <w:shd w:val="clear" w:color="auto" w:fill="E1DFDD"/>
    </w:rPr>
  </w:style>
  <w:style w:type="paragraph" w:styleId="TDC4">
    <w:name w:val="toc 4"/>
    <w:basedOn w:val="Normal"/>
    <w:next w:val="Normal"/>
    <w:autoRedefine/>
    <w:uiPriority w:val="39"/>
    <w:unhideWhenUsed/>
    <w:rsid w:val="00D10440"/>
    <w:pPr>
      <w:spacing w:after="100" w:line="276" w:lineRule="auto"/>
      <w:ind w:left="660" w:firstLine="0"/>
      <w:jc w:val="left"/>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D10440"/>
    <w:pPr>
      <w:spacing w:after="100" w:line="276" w:lineRule="auto"/>
      <w:ind w:left="880" w:firstLine="0"/>
      <w:jc w:val="left"/>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D10440"/>
    <w:pPr>
      <w:spacing w:after="100" w:line="276" w:lineRule="auto"/>
      <w:ind w:left="1100" w:firstLine="0"/>
      <w:jc w:val="left"/>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D10440"/>
    <w:pPr>
      <w:spacing w:after="100" w:line="276" w:lineRule="auto"/>
      <w:ind w:left="1320" w:firstLine="0"/>
      <w:jc w:val="left"/>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D10440"/>
    <w:pPr>
      <w:spacing w:after="100" w:line="276" w:lineRule="auto"/>
      <w:ind w:left="1540" w:firstLine="0"/>
      <w:jc w:val="left"/>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D10440"/>
    <w:pPr>
      <w:spacing w:after="100" w:line="276" w:lineRule="auto"/>
      <w:ind w:left="1760" w:firstLine="0"/>
      <w:jc w:val="left"/>
    </w:pPr>
    <w:rPr>
      <w:rFonts w:asciiTheme="minorHAnsi" w:eastAsiaTheme="minorEastAsia" w:hAnsiTheme="minorHAnsi" w:cstheme="minorBidi"/>
      <w:lang w:eastAsia="es-ES"/>
    </w:rPr>
  </w:style>
  <w:style w:type="paragraph" w:styleId="ndice1">
    <w:name w:val="index 1"/>
    <w:basedOn w:val="Normal"/>
    <w:next w:val="Normal"/>
    <w:autoRedefine/>
    <w:uiPriority w:val="99"/>
    <w:semiHidden/>
    <w:unhideWhenUsed/>
    <w:rsid w:val="001B1462"/>
    <w:pPr>
      <w:spacing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es-E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13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23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3788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3788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3788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6A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23EA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3788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3788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37883"/>
    <w:rPr>
      <w:rFonts w:asciiTheme="majorHAnsi" w:eastAsiaTheme="majorEastAsia" w:hAnsiTheme="majorHAnsi" w:cstheme="majorBidi"/>
      <w:color w:val="243F60" w:themeColor="accent1" w:themeShade="7F"/>
    </w:rPr>
  </w:style>
  <w:style w:type="character" w:customStyle="1" w:styleId="EncabezadoCar">
    <w:name w:val="Encabezado Car"/>
    <w:basedOn w:val="Fuentedeprrafopredeter"/>
    <w:qFormat/>
  </w:style>
  <w:style w:type="character" w:customStyle="1" w:styleId="PiedepginaCar">
    <w:name w:val="Pie de página Car"/>
    <w:basedOn w:val="Fuentedeprrafopredeter"/>
    <w:uiPriority w:val="99"/>
    <w:qFormat/>
  </w:style>
  <w:style w:type="character" w:customStyle="1" w:styleId="ListLabel1">
    <w:name w:val="ListLabel 1"/>
    <w:qFormat/>
    <w:rsid w:val="00C54AE0"/>
    <w:rPr>
      <w:rFonts w:ascii="Times New Roman" w:eastAsia="Calibri" w:hAnsi="Times New Roman" w:cs="Times New Roman"/>
      <w:b/>
      <w:sz w:val="24"/>
    </w:rPr>
  </w:style>
  <w:style w:type="character" w:customStyle="1" w:styleId="ListLabel2">
    <w:name w:val="ListLabel 2"/>
    <w:qFormat/>
    <w:rsid w:val="00C54AE0"/>
    <w:rPr>
      <w:rFonts w:ascii="Times New Roman" w:hAnsi="Times New Roman" w:cs="Courier New"/>
      <w:sz w:val="24"/>
    </w:rPr>
  </w:style>
  <w:style w:type="character" w:customStyle="1" w:styleId="WWCharLFO2LVL1">
    <w:name w:val="WW_CharLFO2LVL1"/>
    <w:qFormat/>
    <w:rPr>
      <w:rFonts w:ascii="Times New Roman" w:eastAsia="Calibri" w:hAnsi="Times New Roman" w:cs="Times New Roman"/>
    </w:rPr>
  </w:style>
  <w:style w:type="character" w:customStyle="1" w:styleId="WWCharLFO2LVL2">
    <w:name w:val="WW_CharLFO2LVL2"/>
    <w:qFormat/>
    <w:rPr>
      <w:rFonts w:ascii="Times New Roman" w:hAnsi="Times New Roman" w:cs="Courier New"/>
    </w:rPr>
  </w:style>
  <w:style w:type="character" w:customStyle="1" w:styleId="WWCharLFO2LVL5">
    <w:name w:val="WW_CharLFO2LVL5"/>
    <w:qFormat/>
    <w:rPr>
      <w:rFonts w:ascii="Times New Roman" w:hAnsi="Times New Roman" w:cs="Courier New"/>
    </w:rPr>
  </w:style>
  <w:style w:type="character" w:customStyle="1" w:styleId="WWCharLFO2LVL8">
    <w:name w:val="WW_CharLFO2LVL8"/>
    <w:qFormat/>
    <w:rPr>
      <w:rFonts w:ascii="Times New Roman" w:hAnsi="Times New Roman" w:cs="Courier New"/>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1">
    <w:name w:val="WW_CharLFO6LVL1"/>
    <w:qFormat/>
    <w:rPr>
      <w:rFonts w:ascii="Times New Roman" w:hAnsi="Times New Roman" w:cs="Times New Roman"/>
      <w:b/>
      <w:sz w:val="24"/>
    </w:rPr>
  </w:style>
  <w:style w:type="paragraph" w:customStyle="1" w:styleId="LO-Normal">
    <w:name w:val="LO-Normal"/>
    <w:qFormat/>
    <w:pPr>
      <w:keepNext/>
      <w:widowControl w:val="0"/>
      <w:shd w:val="clear" w:color="auto" w:fill="FFFFFF"/>
      <w:suppressAutoHyphens/>
      <w:spacing w:after="200"/>
    </w:pPr>
  </w:style>
  <w:style w:type="paragraph" w:styleId="Encabezado">
    <w:name w:val="header"/>
    <w:basedOn w:val="Normal"/>
    <w:qFormat/>
    <w:pPr>
      <w:tabs>
        <w:tab w:val="center" w:pos="4252"/>
        <w:tab w:val="right" w:pos="8504"/>
      </w:tabs>
      <w:spacing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Mangal"/>
      <w:sz w:val="24"/>
    </w:rPr>
  </w:style>
  <w:style w:type="paragraph" w:customStyle="1" w:styleId="Descripcin1">
    <w:name w:val="Descripción1"/>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sz w:val="24"/>
    </w:rPr>
  </w:style>
  <w:style w:type="paragraph" w:styleId="Prrafodelista">
    <w:name w:val="List Paragraph"/>
    <w:basedOn w:val="Normal"/>
    <w:qFormat/>
    <w:pPr>
      <w:ind w:left="720"/>
    </w:pPr>
  </w:style>
  <w:style w:type="paragraph" w:styleId="Piedepgina">
    <w:name w:val="footer"/>
    <w:basedOn w:val="Normal"/>
    <w:uiPriority w:val="99"/>
    <w:pPr>
      <w:tabs>
        <w:tab w:val="center" w:pos="4252"/>
        <w:tab w:val="right" w:pos="8504"/>
      </w:tabs>
      <w:spacing w:line="240" w:lineRule="auto"/>
    </w:pPr>
  </w:style>
  <w:style w:type="paragraph" w:customStyle="1" w:styleId="Contenidodelatabla">
    <w:name w:val="Contenido de la tabla"/>
    <w:basedOn w:val="Normal"/>
    <w:qFormat/>
    <w:pPr>
      <w:suppressLineNumbers/>
    </w:pPr>
  </w:style>
  <w:style w:type="paragraph" w:styleId="Textonotapie">
    <w:name w:val="footnote text"/>
    <w:basedOn w:val="Normal"/>
    <w:link w:val="TextonotapieCar"/>
    <w:uiPriority w:val="99"/>
    <w:unhideWhenUsed/>
    <w:rsid w:val="001F7E75"/>
    <w:pPr>
      <w:spacing w:line="240" w:lineRule="auto"/>
    </w:pPr>
    <w:rPr>
      <w:sz w:val="20"/>
      <w:szCs w:val="20"/>
    </w:rPr>
  </w:style>
  <w:style w:type="character" w:customStyle="1" w:styleId="TextonotapieCar">
    <w:name w:val="Texto nota pie Car"/>
    <w:basedOn w:val="Fuentedeprrafopredeter"/>
    <w:link w:val="Textonotapie"/>
    <w:uiPriority w:val="99"/>
    <w:rsid w:val="001F7E75"/>
    <w:rPr>
      <w:sz w:val="20"/>
      <w:szCs w:val="20"/>
    </w:rPr>
  </w:style>
  <w:style w:type="character" w:styleId="Refdenotaalpie">
    <w:name w:val="footnote reference"/>
    <w:basedOn w:val="Fuentedeprrafopredeter"/>
    <w:uiPriority w:val="99"/>
    <w:semiHidden/>
    <w:unhideWhenUsed/>
    <w:rsid w:val="001F7E75"/>
    <w:rPr>
      <w:vertAlign w:val="superscript"/>
    </w:rPr>
  </w:style>
  <w:style w:type="character" w:styleId="Hipervnculo">
    <w:name w:val="Hyperlink"/>
    <w:basedOn w:val="Fuentedeprrafopredeter"/>
    <w:uiPriority w:val="99"/>
    <w:unhideWhenUsed/>
    <w:rsid w:val="001F7E75"/>
    <w:rPr>
      <w:color w:val="0000FF" w:themeColor="hyperlink"/>
      <w:u w:val="single"/>
    </w:rPr>
  </w:style>
  <w:style w:type="paragraph" w:styleId="Textodeglobo">
    <w:name w:val="Balloon Text"/>
    <w:basedOn w:val="Normal"/>
    <w:link w:val="TextodegloboCar"/>
    <w:uiPriority w:val="99"/>
    <w:semiHidden/>
    <w:unhideWhenUsed/>
    <w:rsid w:val="00FA14D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4D1"/>
    <w:rPr>
      <w:rFonts w:ascii="Tahoma" w:hAnsi="Tahoma" w:cs="Tahoma"/>
      <w:sz w:val="16"/>
      <w:szCs w:val="16"/>
    </w:rPr>
  </w:style>
  <w:style w:type="paragraph" w:styleId="Lista2">
    <w:name w:val="List 2"/>
    <w:basedOn w:val="Normal"/>
    <w:uiPriority w:val="99"/>
    <w:unhideWhenUsed/>
    <w:rsid w:val="006136AB"/>
    <w:pPr>
      <w:ind w:left="566" w:hanging="283"/>
      <w:contextualSpacing/>
    </w:pPr>
  </w:style>
  <w:style w:type="paragraph" w:styleId="Lista3">
    <w:name w:val="List 3"/>
    <w:basedOn w:val="Normal"/>
    <w:uiPriority w:val="99"/>
    <w:unhideWhenUsed/>
    <w:rsid w:val="006136AB"/>
    <w:pPr>
      <w:ind w:left="849" w:hanging="283"/>
      <w:contextualSpacing/>
    </w:pPr>
  </w:style>
  <w:style w:type="paragraph" w:styleId="Continuarlista">
    <w:name w:val="List Continue"/>
    <w:basedOn w:val="Normal"/>
    <w:uiPriority w:val="99"/>
    <w:unhideWhenUsed/>
    <w:rsid w:val="006136AB"/>
    <w:pPr>
      <w:spacing w:after="120"/>
      <w:ind w:left="283"/>
      <w:contextualSpacing/>
    </w:pPr>
  </w:style>
  <w:style w:type="character" w:styleId="Hipervnculovisitado">
    <w:name w:val="FollowedHyperlink"/>
    <w:basedOn w:val="Fuentedeprrafopredeter"/>
    <w:uiPriority w:val="99"/>
    <w:semiHidden/>
    <w:unhideWhenUsed/>
    <w:rsid w:val="00A92092"/>
    <w:rPr>
      <w:color w:val="800080" w:themeColor="followedHyperlink"/>
      <w:u w:val="single"/>
    </w:rPr>
  </w:style>
  <w:style w:type="character" w:customStyle="1" w:styleId="Mencinsinresolver1">
    <w:name w:val="Mención sin resolver1"/>
    <w:basedOn w:val="Fuentedeprrafopredeter"/>
    <w:uiPriority w:val="99"/>
    <w:semiHidden/>
    <w:unhideWhenUsed/>
    <w:rsid w:val="00C716E6"/>
    <w:rPr>
      <w:color w:val="808080"/>
      <w:shd w:val="clear" w:color="auto" w:fill="E6E6E6"/>
    </w:rPr>
  </w:style>
  <w:style w:type="character" w:customStyle="1" w:styleId="Mencinsinresolver2">
    <w:name w:val="Mención sin resolver2"/>
    <w:basedOn w:val="Fuentedeprrafopredeter"/>
    <w:uiPriority w:val="99"/>
    <w:semiHidden/>
    <w:unhideWhenUsed/>
    <w:rsid w:val="00511BD4"/>
    <w:rPr>
      <w:color w:val="808080"/>
      <w:shd w:val="clear" w:color="auto" w:fill="E6E6E6"/>
    </w:rPr>
  </w:style>
  <w:style w:type="character" w:customStyle="1" w:styleId="Mencinsinresolver3">
    <w:name w:val="Mención sin resolver3"/>
    <w:basedOn w:val="Fuentedeprrafopredeter"/>
    <w:uiPriority w:val="99"/>
    <w:semiHidden/>
    <w:unhideWhenUsed/>
    <w:rsid w:val="00E76C46"/>
    <w:rPr>
      <w:color w:val="808080"/>
      <w:shd w:val="clear" w:color="auto" w:fill="E6E6E6"/>
    </w:rPr>
  </w:style>
  <w:style w:type="paragraph" w:styleId="TtulodeTDC">
    <w:name w:val="TOC Heading"/>
    <w:basedOn w:val="Ttulo1"/>
    <w:next w:val="Normal"/>
    <w:uiPriority w:val="39"/>
    <w:unhideWhenUsed/>
    <w:qFormat/>
    <w:rsid w:val="00E30FE0"/>
    <w:pPr>
      <w:spacing w:before="240" w:line="259" w:lineRule="auto"/>
      <w:ind w:firstLine="0"/>
      <w:jc w:val="left"/>
      <w:outlineLvl w:val="9"/>
    </w:pPr>
    <w:rPr>
      <w:b w:val="0"/>
      <w:bCs w:val="0"/>
      <w:sz w:val="32"/>
      <w:szCs w:val="32"/>
      <w:lang w:eastAsia="es-ES"/>
    </w:rPr>
  </w:style>
  <w:style w:type="paragraph" w:styleId="TDC1">
    <w:name w:val="toc 1"/>
    <w:basedOn w:val="Normal"/>
    <w:next w:val="Normal"/>
    <w:autoRedefine/>
    <w:uiPriority w:val="39"/>
    <w:unhideWhenUsed/>
    <w:rsid w:val="003A5BD8"/>
    <w:pPr>
      <w:tabs>
        <w:tab w:val="right" w:leader="dot" w:pos="9016"/>
      </w:tabs>
      <w:spacing w:after="100"/>
      <w:ind w:firstLine="0"/>
    </w:pPr>
    <w:rPr>
      <w:rFonts w:ascii="Times New Roman" w:hAnsi="Times New Roman" w:cs="Times New Roman"/>
      <w:b/>
      <w:noProof/>
      <w:sz w:val="24"/>
      <w:szCs w:val="24"/>
      <w:lang w:val="en-US"/>
    </w:rPr>
  </w:style>
  <w:style w:type="paragraph" w:styleId="TDC2">
    <w:name w:val="toc 2"/>
    <w:basedOn w:val="Normal"/>
    <w:next w:val="Normal"/>
    <w:autoRedefine/>
    <w:uiPriority w:val="39"/>
    <w:unhideWhenUsed/>
    <w:rsid w:val="00A44FB0"/>
    <w:pPr>
      <w:tabs>
        <w:tab w:val="right" w:leader="dot" w:pos="9016"/>
      </w:tabs>
      <w:spacing w:after="100"/>
      <w:ind w:left="220"/>
    </w:pPr>
    <w:rPr>
      <w:rFonts w:ascii="Times New Roman" w:hAnsi="Times New Roman" w:cs="Times New Roman"/>
      <w:noProof/>
      <w:sz w:val="24"/>
      <w:szCs w:val="24"/>
    </w:rPr>
  </w:style>
  <w:style w:type="paragraph" w:styleId="TDC3">
    <w:name w:val="toc 3"/>
    <w:basedOn w:val="Normal"/>
    <w:next w:val="Normal"/>
    <w:autoRedefine/>
    <w:uiPriority w:val="39"/>
    <w:unhideWhenUsed/>
    <w:rsid w:val="008605D4"/>
    <w:pPr>
      <w:tabs>
        <w:tab w:val="right" w:leader="dot" w:pos="9016"/>
      </w:tabs>
      <w:spacing w:after="100"/>
      <w:ind w:left="440"/>
    </w:pPr>
    <w:rPr>
      <w:rFonts w:ascii="Times New Roman" w:hAnsi="Times New Roman" w:cs="Times New Roman"/>
      <w:b/>
      <w:noProof/>
      <w:sz w:val="24"/>
      <w:szCs w:val="24"/>
    </w:rPr>
  </w:style>
  <w:style w:type="character" w:customStyle="1" w:styleId="UnresolvedMention">
    <w:name w:val="Unresolved Mention"/>
    <w:basedOn w:val="Fuentedeprrafopredeter"/>
    <w:uiPriority w:val="99"/>
    <w:semiHidden/>
    <w:unhideWhenUsed/>
    <w:rsid w:val="00E27E68"/>
    <w:rPr>
      <w:color w:val="605E5C"/>
      <w:shd w:val="clear" w:color="auto" w:fill="E1DFDD"/>
    </w:rPr>
  </w:style>
  <w:style w:type="paragraph" w:styleId="TDC4">
    <w:name w:val="toc 4"/>
    <w:basedOn w:val="Normal"/>
    <w:next w:val="Normal"/>
    <w:autoRedefine/>
    <w:uiPriority w:val="39"/>
    <w:unhideWhenUsed/>
    <w:rsid w:val="00D10440"/>
    <w:pPr>
      <w:spacing w:after="100" w:line="276" w:lineRule="auto"/>
      <w:ind w:left="660" w:firstLine="0"/>
      <w:jc w:val="left"/>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D10440"/>
    <w:pPr>
      <w:spacing w:after="100" w:line="276" w:lineRule="auto"/>
      <w:ind w:left="880" w:firstLine="0"/>
      <w:jc w:val="left"/>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D10440"/>
    <w:pPr>
      <w:spacing w:after="100" w:line="276" w:lineRule="auto"/>
      <w:ind w:left="1100" w:firstLine="0"/>
      <w:jc w:val="left"/>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D10440"/>
    <w:pPr>
      <w:spacing w:after="100" w:line="276" w:lineRule="auto"/>
      <w:ind w:left="1320" w:firstLine="0"/>
      <w:jc w:val="left"/>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D10440"/>
    <w:pPr>
      <w:spacing w:after="100" w:line="276" w:lineRule="auto"/>
      <w:ind w:left="1540" w:firstLine="0"/>
      <w:jc w:val="left"/>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D10440"/>
    <w:pPr>
      <w:spacing w:after="100" w:line="276" w:lineRule="auto"/>
      <w:ind w:left="1760" w:firstLine="0"/>
      <w:jc w:val="left"/>
    </w:pPr>
    <w:rPr>
      <w:rFonts w:asciiTheme="minorHAnsi" w:eastAsiaTheme="minorEastAsia" w:hAnsiTheme="minorHAnsi" w:cstheme="minorBidi"/>
      <w:lang w:eastAsia="es-ES"/>
    </w:rPr>
  </w:style>
  <w:style w:type="paragraph" w:styleId="ndice1">
    <w:name w:val="index 1"/>
    <w:basedOn w:val="Normal"/>
    <w:next w:val="Normal"/>
    <w:autoRedefine/>
    <w:uiPriority w:val="99"/>
    <w:semiHidden/>
    <w:unhideWhenUsed/>
    <w:rsid w:val="001B1462"/>
    <w:pPr>
      <w:spacing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bitrationicca.org/media/1/13571335953400/interpretive_powers_of_the_free_trade_commission_and_the_rule_of_law_kaufmann-kohler.pdf" TargetMode="External"/><Relationship Id="rId4" Type="http://schemas.microsoft.com/office/2007/relationships/stylesWithEffects" Target="stylesWithEffects.xml"/><Relationship Id="rId9" Type="http://schemas.openxmlformats.org/officeDocument/2006/relationships/hyperlink" Target="http://www.iisd.org/publications/pub.aspx?id=152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alaw.com/sites/default/files/case-documents/italaw1597.pdf" TargetMode="External"/><Relationship Id="rId13" Type="http://schemas.openxmlformats.org/officeDocument/2006/relationships/hyperlink" Target="http://investmentpolicyhub.unctad.org/Download/TreatyFile/4847" TargetMode="External"/><Relationship Id="rId18" Type="http://schemas.openxmlformats.org/officeDocument/2006/relationships/hyperlink" Target="http://www.uncitral.org/pdf/spanish/texts/arbitration/transparency-convention/Transparency-Convention-s.pdf" TargetMode="External"/><Relationship Id="rId3" Type="http://schemas.openxmlformats.org/officeDocument/2006/relationships/hyperlink" Target="http://arbitration.oxfordjournals.org/content/28/3/355" TargetMode="External"/><Relationship Id="rId7" Type="http://schemas.openxmlformats.org/officeDocument/2006/relationships/hyperlink" Target="https://www.italaw.com/sites/default/files/case-documents/ita0091_0.pdf" TargetMode="External"/><Relationship Id="rId12" Type="http://schemas.openxmlformats.org/officeDocument/2006/relationships/hyperlink" Target="http://investmentpolicyhub.unctad.org/Download/TreatyFile/4846" TargetMode="External"/><Relationship Id="rId17" Type="http://schemas.openxmlformats.org/officeDocument/2006/relationships/hyperlink" Target="http://www.uncitral.org/transparency-registry/registry/index.jspx" TargetMode="External"/><Relationship Id="rId2" Type="http://schemas.openxmlformats.org/officeDocument/2006/relationships/hyperlink" Target="http://www.iccspain.org/wp-content/uploads/2017/03/Nota-a-las-partes-y-al-Tribunal-Arbitral-sobre-la-conducci%C3%B3n-del-arbitraje-de-conformidad-con-el-Reglamento-de-Arbitraje_CCI_1-marzo-2.pdf" TargetMode="External"/><Relationship Id="rId16" Type="http://schemas.openxmlformats.org/officeDocument/2006/relationships/hyperlink" Target="https://www.italaw.com/cases/783" TargetMode="External"/><Relationship Id="rId20" Type="http://schemas.openxmlformats.org/officeDocument/2006/relationships/hyperlink" Target="https://www.aph.gov.au/Parliamentary_Business/Bills_Legislation/bd/bd1617a/17bd120" TargetMode="External"/><Relationship Id="rId1" Type="http://schemas.openxmlformats.org/officeDocument/2006/relationships/hyperlink" Target="http://www.ila-hq.org/en/committees/index.cfm/cid/19" TargetMode="External"/><Relationship Id="rId6" Type="http://schemas.openxmlformats.org/officeDocument/2006/relationships/hyperlink" Target="http://scholarship.law.duke.edu/do/search/?q=Maupin%20Transparency&amp;start=0&amp;context=1022222" TargetMode="External"/><Relationship Id="rId11" Type="http://schemas.openxmlformats.org/officeDocument/2006/relationships/hyperlink" Target="http://investmentpolicyhub.unctad.org/Download/TreatyFile/80" TargetMode="External"/><Relationship Id="rId5" Type="http://schemas.openxmlformats.org/officeDocument/2006/relationships/hyperlink" Target="http://ssrn.com/abstract=1739174" TargetMode="External"/><Relationship Id="rId15" Type="http://schemas.openxmlformats.org/officeDocument/2006/relationships/hyperlink" Target="http://www.arbitrationicca.org/media/1/13571335953400/interpretive_powers_of_the_free_trade_commission_and_the_rule_of_law_kaufmann-kohler.pdf" TargetMode="External"/><Relationship Id="rId10" Type="http://schemas.openxmlformats.org/officeDocument/2006/relationships/hyperlink" Target="http://investmentpolicyhub.unctad.org/Download/TreatyFile/40" TargetMode="External"/><Relationship Id="rId19" Type="http://schemas.openxmlformats.org/officeDocument/2006/relationships/hyperlink" Target="http://www.uncitral.org/uncitral/es/uncitral_texts/arbitration/2014Transparency_Convention_status.html" TargetMode="External"/><Relationship Id="rId4" Type="http://schemas.openxmlformats.org/officeDocument/2006/relationships/hyperlink" Target="http://icsidfiles.worldbank.org/icsid/icsid/staticfiles/basicdoc-spa/partF-chap06.htm" TargetMode="External"/><Relationship Id="rId9" Type="http://schemas.openxmlformats.org/officeDocument/2006/relationships/hyperlink" Target="https://icsid.worldbank.org/sp/Amendments" TargetMode="External"/><Relationship Id="rId14" Type="http://schemas.openxmlformats.org/officeDocument/2006/relationships/hyperlink" Target="http://www.iisd.org/publications/pub.aspx?id=15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0294-95DC-4065-88B8-D488120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16849</Words>
  <Characters>92675</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Nayiber Febles pozo</dc:creator>
  <cp:lastModifiedBy>USUARIO</cp:lastModifiedBy>
  <cp:revision>3</cp:revision>
  <cp:lastPrinted>2019-02-15T13:55:00Z</cp:lastPrinted>
  <dcterms:created xsi:type="dcterms:W3CDTF">2019-05-16T10:13:00Z</dcterms:created>
  <dcterms:modified xsi:type="dcterms:W3CDTF">2019-05-16T10:18:00Z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